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P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ПРАВОПРИМЕНИТЕЛЬНОЙ ПРАКТИКИ </w:t>
      </w:r>
    </w:p>
    <w:p w:rsidR="00226AD1" w:rsidRP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КОНТРОЛЬНО-НАДЗОРНОЙ ДЕЯТЕЛЬНОСТИ В </w:t>
      </w:r>
      <w:r w:rsidR="00F71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САХАЛИНСКОМ </w:t>
      </w:r>
      <w:r w:rsidR="00222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ФЕДЕРАЛЬНОЙ СЛУЖБ</w:t>
      </w:r>
      <w:r w:rsidR="007E2DE9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ЭКОЛОГИЧЕСКОМУ, ТЕХНОЛОГИЧЕСКОМУ И АТОМНОМУ НАДЗОРУ 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ФЕДЕРАЛЬНОГО ГОСУДАРТСВЕННОГО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НАДЗОРА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БЕЗОПАСНОСТИ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ГИДРОТЕХНИЧЕСКИ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СООРУЖЕНИ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FC58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D51560" w:rsidRPr="0098046E" w:rsidRDefault="00D51560" w:rsidP="00D51560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>(со статистикой типовых и массовых нарушений обязательных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требований с возможными мероприятиями по их устранению)</w:t>
      </w:r>
    </w:p>
    <w:p w:rsidR="00D51560" w:rsidRPr="0098046E" w:rsidRDefault="00D51560" w:rsidP="00D51560">
      <w:pPr>
        <w:spacing w:after="0" w:line="360" w:lineRule="auto"/>
        <w:ind w:left="513" w:right="5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560" w:rsidRPr="0098046E" w:rsidRDefault="00D51560" w:rsidP="00D5156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D51560" w:rsidRPr="00FC5815" w:rsidRDefault="00D51560" w:rsidP="007E2DE9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lastRenderedPageBreak/>
        <w:t xml:space="preserve">Нормативные правовые акты, принятые </w:t>
      </w:r>
      <w:r w:rsidR="0022207F"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в 2016 году в сфере</w:t>
      </w: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безопасности</w:t>
      </w:r>
      <w:r w:rsidR="0022207F"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гидротехнических сооружений</w:t>
      </w:r>
    </w:p>
    <w:p w:rsidR="00D51560" w:rsidRPr="00FC5815" w:rsidRDefault="00D51560" w:rsidP="007E2DE9">
      <w:pPr>
        <w:spacing w:after="0"/>
        <w:rPr>
          <w:sz w:val="26"/>
          <w:szCs w:val="26"/>
          <w:lang w:eastAsia="ru-RU"/>
        </w:rPr>
      </w:pPr>
    </w:p>
    <w:p w:rsidR="00645CF2" w:rsidRPr="00FC5815" w:rsidRDefault="00645CF2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sz w:val="26"/>
          <w:szCs w:val="26"/>
        </w:rPr>
        <w:t>Федеральный закон от 03.07.2016 № 255-ФЗ «О внесении изменений в Федеральный закон «О безопасности гидротехнических сооружений» (законодательно установлены классы гидротехнических сооружений (далее – ГТС) и дифференцированный режим плановых проверок ГТС в зависимости от их класса, исключена необходимость разработки декларации безопасности на стадии эксплуатации в отношении ГТС IV класса, исключена обязанность владельцев ГТС III и IV классов создавать и поддерживать в состоянии готовности локальные системы оповещения, упрощена процедура получения разрешения для эксплуатации ГТС);</w:t>
      </w:r>
    </w:p>
    <w:p w:rsidR="00645CF2" w:rsidRPr="00FC5815" w:rsidRDefault="00645CF2" w:rsidP="007E2DE9">
      <w:pPr>
        <w:spacing w:after="0"/>
        <w:ind w:firstLine="708"/>
        <w:jc w:val="both"/>
        <w:rPr>
          <w:rStyle w:val="doccaption"/>
          <w:rFonts w:ascii="Times New Roman" w:hAnsi="Times New Roman"/>
          <w:sz w:val="26"/>
          <w:szCs w:val="26"/>
        </w:rPr>
      </w:pPr>
      <w:r w:rsidRPr="00FC5815">
        <w:rPr>
          <w:rStyle w:val="doccaption"/>
          <w:rFonts w:ascii="Times New Roman" w:hAnsi="Times New Roman"/>
          <w:sz w:val="26"/>
          <w:szCs w:val="26"/>
        </w:rPr>
        <w:t>Изданы приказы Ростехнадзора:</w:t>
      </w:r>
    </w:p>
    <w:p w:rsidR="00645CF2" w:rsidRPr="00FC5815" w:rsidRDefault="0022207F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FC5815">
        <w:rPr>
          <w:rFonts w:ascii="Times New Roman" w:hAnsi="Times New Roman"/>
          <w:sz w:val="26"/>
          <w:szCs w:val="26"/>
        </w:rPr>
        <w:t xml:space="preserve"> - П</w:t>
      </w:r>
      <w:r w:rsidR="00645CF2" w:rsidRPr="00FC5815">
        <w:rPr>
          <w:rFonts w:ascii="Times New Roman" w:hAnsi="Times New Roman"/>
          <w:sz w:val="26"/>
          <w:szCs w:val="26"/>
        </w:rPr>
        <w:t xml:space="preserve">риказ Ростехнадзора от 24.02.2016 № 67 «Об </w:t>
      </w:r>
      <w:r w:rsidR="00645CF2" w:rsidRPr="00FC5815">
        <w:rPr>
          <w:rFonts w:ascii="Times New Roman" w:hAnsi="Times New Roman"/>
          <w:sz w:val="26"/>
          <w:szCs w:val="26"/>
          <w:lang w:eastAsia="zh-CN"/>
        </w:rPr>
        <w:t>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сооружений»;</w:t>
      </w:r>
    </w:p>
    <w:p w:rsidR="00645CF2" w:rsidRPr="00FC5815" w:rsidRDefault="0022207F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sz w:val="26"/>
          <w:szCs w:val="26"/>
        </w:rPr>
        <w:t xml:space="preserve"> - П</w:t>
      </w:r>
      <w:r w:rsidR="00645CF2" w:rsidRPr="00FC5815">
        <w:rPr>
          <w:rFonts w:ascii="Times New Roman" w:hAnsi="Times New Roman"/>
          <w:sz w:val="26"/>
          <w:szCs w:val="26"/>
        </w:rPr>
        <w:t>риказ Ростехнадзора от 29.03.2016 № 120 «Об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сооружений)»;</w:t>
      </w:r>
    </w:p>
    <w:p w:rsidR="00645CF2" w:rsidRPr="00FC5815" w:rsidRDefault="0022207F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sz w:val="26"/>
          <w:szCs w:val="26"/>
        </w:rPr>
        <w:t xml:space="preserve"> - П</w:t>
      </w:r>
      <w:r w:rsidR="00645CF2" w:rsidRPr="00FC5815">
        <w:rPr>
          <w:rFonts w:ascii="Times New Roman" w:hAnsi="Times New Roman"/>
          <w:sz w:val="26"/>
          <w:szCs w:val="26"/>
        </w:rPr>
        <w:t>риказ Ростехнадзора от 25.04.2016 № 159 «Об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заполнения»;</w:t>
      </w:r>
    </w:p>
    <w:p w:rsidR="00645CF2" w:rsidRPr="00FC5815" w:rsidRDefault="0022207F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sz w:val="26"/>
          <w:szCs w:val="26"/>
        </w:rPr>
        <w:t xml:space="preserve"> - П</w:t>
      </w:r>
      <w:r w:rsidR="00645CF2" w:rsidRPr="00FC5815">
        <w:rPr>
          <w:rFonts w:ascii="Times New Roman" w:hAnsi="Times New Roman"/>
          <w:sz w:val="26"/>
          <w:szCs w:val="26"/>
        </w:rPr>
        <w:t>риказ Ростехнадзора от 15.07.2016 № 298 «Об утверждении Порядка предоставления информации из Российского регистра гидротехнических сооружений»;</w:t>
      </w:r>
    </w:p>
    <w:p w:rsidR="00645CF2" w:rsidRPr="00FC5815" w:rsidRDefault="0022207F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sz w:val="26"/>
          <w:szCs w:val="26"/>
        </w:rPr>
        <w:t xml:space="preserve"> - П</w:t>
      </w:r>
      <w:r w:rsidR="00645CF2" w:rsidRPr="00FC5815">
        <w:rPr>
          <w:rFonts w:ascii="Times New Roman" w:hAnsi="Times New Roman"/>
          <w:sz w:val="26"/>
          <w:szCs w:val="26"/>
        </w:rPr>
        <w:t>риказ Ростехнадзора от 28.10.2016 № 441 «Об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государственной регистрации гидротехнических сооружений и ведению Российского регистра гидротехнических сооружений»;</w:t>
      </w:r>
    </w:p>
    <w:p w:rsidR="00645CF2" w:rsidRPr="00FC5815" w:rsidRDefault="0022207F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sz w:val="26"/>
          <w:szCs w:val="26"/>
        </w:rPr>
        <w:t xml:space="preserve"> - П</w:t>
      </w:r>
      <w:r w:rsidR="00645CF2" w:rsidRPr="00FC5815">
        <w:rPr>
          <w:rFonts w:ascii="Times New Roman" w:hAnsi="Times New Roman"/>
          <w:sz w:val="26"/>
          <w:szCs w:val="26"/>
        </w:rPr>
        <w:t xml:space="preserve">риказ Ростехнадзора от 20.10.2016 № 428 «О внесении изменений в Дополнительные </w:t>
      </w:r>
      <w:hyperlink r:id="rId6" w:history="1">
        <w:r w:rsidR="00645CF2" w:rsidRPr="00FC5815">
          <w:rPr>
            <w:rFonts w:ascii="Times New Roman" w:hAnsi="Times New Roman"/>
            <w:sz w:val="26"/>
            <w:szCs w:val="26"/>
          </w:rPr>
          <w:t>требования</w:t>
        </w:r>
      </w:hyperlink>
      <w:r w:rsidR="00645CF2" w:rsidRPr="00FC5815">
        <w:rPr>
          <w:rFonts w:ascii="Times New Roman" w:hAnsi="Times New Roman"/>
          <w:sz w:val="26"/>
          <w:szCs w:val="26"/>
        </w:rPr>
        <w:t xml:space="preserve"> к содержанию деклараций безопасности гидротехнических сооружений и методику их составления, учитывающие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безопасности, утвержденные приказом Ростехнадзора от 03.11.2011 № 625». </w:t>
      </w:r>
    </w:p>
    <w:p w:rsidR="00645CF2" w:rsidRPr="00FC5815" w:rsidRDefault="00645CF2" w:rsidP="007E2DE9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Гидротехнические сооружения</w:t>
      </w:r>
    </w:p>
    <w:p w:rsidR="00645CF2" w:rsidRPr="00FC5815" w:rsidRDefault="00645CF2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401 и Положением о федеральном государственном надзоре в области безопасности гидротехнических сооружений,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утвержденным постановлением Правительства Российской Федерации от 27.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2012 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№ 1108 за Ростехнадзором закреплены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 (далее – ГТС).</w:t>
      </w:r>
    </w:p>
    <w:p w:rsidR="0022207F" w:rsidRPr="00FC5815" w:rsidRDefault="00F91E65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Сахалинскому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управлению Ростехнадзора поднадзорно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гидротехнических сооружений:</w:t>
      </w: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91E6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энергетического комплекса, </w:t>
      </w: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91E6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F91E65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водохозяйственного комплекса. </w:t>
      </w:r>
    </w:p>
    <w:p w:rsidR="008F45ED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5ED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3114675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45ED" w:rsidRPr="0022207F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Из них подлежат декларированию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гидротехнических сооружения.</w:t>
      </w: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количество организаций, эксплуатирующих ГТС -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, в том числе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энергетики и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, эксплуатирующие объекты водохозяйственного комплекса.</w:t>
      </w:r>
    </w:p>
    <w:p w:rsidR="009955DA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Собственник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ГТС энергети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ческих комплексов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явл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яе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тся - </w:t>
      </w:r>
      <w:r w:rsidR="009955DA" w:rsidRPr="009955DA">
        <w:rPr>
          <w:rFonts w:ascii="Times New Roman" w:eastAsia="Times New Roman" w:hAnsi="Times New Roman"/>
          <w:sz w:val="26"/>
          <w:szCs w:val="26"/>
          <w:lang w:eastAsia="ru-RU"/>
        </w:rPr>
        <w:t>Публичное акционерное общество энергетики и электрификации "Сахалинэнерго"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55DA" w:rsidRDefault="009955DA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Собственники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ГТС 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водохозяйственного комплекса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Южно-Сахалинска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администрации Муниципального образования «</w:t>
      </w:r>
      <w:proofErr w:type="spellStart"/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Корсаковск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proofErr w:type="spellEnd"/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округ»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B2732" w:rsidRPr="003B2732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администрации муниципального образования «Холмский городской округ»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B2732" w:rsidRPr="003B2732">
        <w:rPr>
          <w:rFonts w:ascii="Times New Roman" w:eastAsia="Times New Roman" w:hAnsi="Times New Roman"/>
          <w:sz w:val="26"/>
          <w:szCs w:val="26"/>
          <w:lang w:eastAsia="ru-RU"/>
        </w:rPr>
        <w:t>Администрация Углегорского муниципального района Сахалинской области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B2732" w:rsidRPr="003B2732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муниципальным имуществом и экономике муниципального образования городской округ "Охинский"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0610C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ГТС в соответствии с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610C">
        <w:rPr>
          <w:rFonts w:ascii="Times New Roman" w:eastAsia="Times New Roman" w:hAnsi="Times New Roman"/>
          <w:sz w:val="26"/>
          <w:szCs w:val="26"/>
          <w:lang w:eastAsia="ru-RU"/>
        </w:rPr>
        <w:t>«Критериями классификации</w:t>
      </w:r>
      <w:r w:rsidR="0030610C"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гидротехнических сооружений</w:t>
      </w:r>
      <w:r w:rsid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», утвержденные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610C" w:rsidRPr="0030610C">
        <w:rPr>
          <w:rFonts w:ascii="Times New Roman" w:eastAsia="Times New Roman" w:hAnsi="Times New Roman"/>
          <w:sz w:val="26"/>
          <w:szCs w:val="26"/>
          <w:lang w:eastAsia="ru-RU"/>
        </w:rPr>
        <w:t>от 2 ноября 2013 года «О классификации гидротехнических сооружений» относятся к следующим классам опасности: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 класс —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комплексов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II класс —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комплексов;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III класс —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комплексов;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IV класс —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комплекс.</w:t>
      </w:r>
    </w:p>
    <w:p w:rsidR="0022207F" w:rsidRPr="003B2732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F45ED" w:rsidRPr="00645CF2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3209925"/>
            <wp:effectExtent l="19050" t="0" r="1905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45ED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CA3" w:rsidRPr="00FC5815" w:rsidRDefault="005A1B57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945CA3" w:rsidRPr="00FC5815">
        <w:rPr>
          <w:rFonts w:ascii="Times New Roman" w:hAnsi="Times New Roman"/>
          <w:sz w:val="26"/>
          <w:szCs w:val="26"/>
        </w:rPr>
        <w:t xml:space="preserve">ровень безопасности поднадзорных ГТС оценивается следующим образом: </w:t>
      </w:r>
    </w:p>
    <w:p w:rsidR="00945CA3" w:rsidRPr="00FC5815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нормальный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при котором ГТС не имеют дефектов и повреждений, дальнейшее развитие которых может привести к аварии, а эксплуатация ГТС осуществляется с выполнением норм и правил безопасности, имеют </w:t>
      </w:r>
      <w:r w:rsidR="007B1E25">
        <w:rPr>
          <w:rFonts w:ascii="Times New Roman" w:hAnsi="Times New Roman"/>
          <w:sz w:val="26"/>
          <w:szCs w:val="26"/>
        </w:rPr>
        <w:t>0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 от общего количества; </w:t>
      </w:r>
    </w:p>
    <w:p w:rsidR="00945CA3" w:rsidRPr="00FC5815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пониженный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при котором сооружения находятся в нормальном техническом состоянии, но имеются нарушения правил эксплуатации, имеют </w:t>
      </w:r>
      <w:r w:rsidR="007B1E25">
        <w:rPr>
          <w:rFonts w:ascii="Times New Roman" w:hAnsi="Times New Roman"/>
          <w:sz w:val="26"/>
          <w:szCs w:val="26"/>
        </w:rPr>
        <w:t>78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ГТС; </w:t>
      </w:r>
    </w:p>
    <w:p w:rsidR="00945CA3" w:rsidRPr="00FC5815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неудовлетворительный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характеризуемый превышением первого (предупреждающего) уровня значений критериев безопасности и ограниченной работоспособностью сооружений, имеют </w:t>
      </w:r>
      <w:r w:rsidR="007B1E25">
        <w:rPr>
          <w:rFonts w:ascii="Times New Roman" w:hAnsi="Times New Roman"/>
          <w:sz w:val="26"/>
          <w:szCs w:val="26"/>
        </w:rPr>
        <w:t>22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ГТС;</w:t>
      </w:r>
    </w:p>
    <w:p w:rsidR="00945CA3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опасный уровень безопасности</w:t>
      </w:r>
      <w:r w:rsidRPr="00FC5815">
        <w:rPr>
          <w:rFonts w:ascii="Times New Roman" w:hAnsi="Times New Roman"/>
          <w:sz w:val="26"/>
          <w:szCs w:val="26"/>
        </w:rPr>
        <w:t>, характеризуемый превышением предельно допустимых значений критериев безопасности, потерей работоспособности и не подлежащих эксплуатации, имеют 0 % комплексов ГТС.</w:t>
      </w:r>
    </w:p>
    <w:p w:rsidR="005A1B57" w:rsidRDefault="005A1B57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1B57" w:rsidRPr="00FC5815" w:rsidRDefault="005A1B57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1B57" w:rsidRDefault="005A1B57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4050" cy="2886075"/>
            <wp:effectExtent l="19050" t="0" r="19050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1B57" w:rsidRDefault="005A1B57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5A1B57" w:rsidRPr="002126A8" w:rsidRDefault="005A1B57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815" w:rsidRPr="002126A8" w:rsidRDefault="00FC5815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6A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графиком декларирования в 201</w:t>
      </w:r>
      <w:r w:rsidR="002126A8" w:rsidRPr="002126A8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Pr="002126A8">
        <w:rPr>
          <w:rFonts w:ascii="Times New Roman" w:eastAsia="Times New Roman" w:hAnsi="Times New Roman"/>
          <w:sz w:val="26"/>
          <w:szCs w:val="26"/>
          <w:lang w:eastAsia="ru-RU"/>
        </w:rPr>
        <w:t>году подлежали декларированию безопасности 4 комплекса ГТС, в том числе:</w:t>
      </w:r>
    </w:p>
    <w:p w:rsidR="00FC5815" w:rsidRPr="002126A8" w:rsidRDefault="00FC5815" w:rsidP="007E2DE9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6A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126A8" w:rsidRPr="002126A8">
        <w:rPr>
          <w:rFonts w:ascii="Times New Roman" w:hAnsi="Times New Roman"/>
          <w:sz w:val="24"/>
          <w:szCs w:val="24"/>
        </w:rPr>
        <w:t>ГТС водохранилища на р. Рогатка, III класс,</w:t>
      </w:r>
      <w:r w:rsidR="002126A8" w:rsidRPr="002126A8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города Южно-Сахалинска</w:t>
      </w:r>
    </w:p>
    <w:p w:rsidR="00FC5815" w:rsidRPr="002126A8" w:rsidRDefault="00FC5815" w:rsidP="007E2DE9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6A8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2126A8" w:rsidRPr="002126A8">
        <w:rPr>
          <w:rFonts w:ascii="Times New Roman" w:hAnsi="Times New Roman"/>
          <w:sz w:val="24"/>
          <w:szCs w:val="24"/>
        </w:rPr>
        <w:t>ГТС водохранилища на р. Татарка, III класс</w:t>
      </w:r>
      <w:r w:rsidR="002126A8" w:rsidRPr="002126A8">
        <w:rPr>
          <w:rFonts w:ascii="Times New Roman" w:eastAsia="Times New Roman" w:hAnsi="Times New Roman"/>
          <w:sz w:val="26"/>
          <w:szCs w:val="26"/>
          <w:lang w:eastAsia="ru-RU"/>
        </w:rPr>
        <w:t>, Комитет по управлению имуществом администрации муниципального образования «Холмский городской округ»;</w:t>
      </w:r>
    </w:p>
    <w:p w:rsidR="00FC5815" w:rsidRPr="002126A8" w:rsidRDefault="00FC5815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6A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126A8" w:rsidRPr="002126A8">
        <w:rPr>
          <w:rFonts w:ascii="Times New Roman" w:hAnsi="Times New Roman"/>
          <w:sz w:val="24"/>
          <w:szCs w:val="24"/>
        </w:rPr>
        <w:t>ГТС водохранилища на р. Малка, IV класс,</w:t>
      </w:r>
      <w:r w:rsidR="002126A8" w:rsidRPr="002126A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управлению имуществом администрации муниципального образования «Холмский городской округ»;</w:t>
      </w:r>
    </w:p>
    <w:p w:rsidR="008F45ED" w:rsidRPr="002126A8" w:rsidRDefault="00FC5815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6A8"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="002126A8" w:rsidRPr="002126A8">
        <w:rPr>
          <w:rFonts w:ascii="Times New Roman" w:hAnsi="Times New Roman"/>
          <w:sz w:val="24"/>
          <w:szCs w:val="24"/>
        </w:rPr>
        <w:t>ГТС водохранилища оз. Медвежье, , I</w:t>
      </w:r>
      <w:r w:rsidR="002126A8">
        <w:rPr>
          <w:rFonts w:ascii="Times New Roman" w:hAnsi="Times New Roman"/>
          <w:sz w:val="24"/>
          <w:szCs w:val="24"/>
          <w:lang w:val="en-US"/>
        </w:rPr>
        <w:t>II</w:t>
      </w:r>
      <w:r w:rsidR="002126A8" w:rsidRPr="002126A8">
        <w:rPr>
          <w:rFonts w:ascii="Times New Roman" w:hAnsi="Times New Roman"/>
          <w:sz w:val="24"/>
          <w:szCs w:val="24"/>
        </w:rPr>
        <w:t xml:space="preserve"> класс, </w:t>
      </w:r>
      <w:r w:rsidR="002126A8" w:rsidRPr="002126A8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муниципальным имуществом и экономике муниципального образования городской округ "Охинский".</w:t>
      </w:r>
    </w:p>
    <w:p w:rsidR="006B11C2" w:rsidRPr="00FC5815" w:rsidRDefault="006B11C2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За 2016 год </w:t>
      </w:r>
      <w:r w:rsidR="002126A8">
        <w:rPr>
          <w:rFonts w:ascii="Times New Roman" w:eastAsia="Times New Roman" w:hAnsi="Times New Roman"/>
          <w:sz w:val="26"/>
          <w:szCs w:val="26"/>
          <w:lang w:eastAsia="ru-RU"/>
        </w:rPr>
        <w:t>Сахалинским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управлением Ростехнадзора проведено </w:t>
      </w:r>
      <w:r w:rsidR="002126A8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проверок в отношении юридических лиц, занимающихся эксплуатацией гидротехнических сооружений, из них </w:t>
      </w:r>
      <w:r w:rsidR="002126A8">
        <w:rPr>
          <w:rFonts w:ascii="Times New Roman" w:eastAsia="Times New Roman" w:hAnsi="Times New Roman"/>
          <w:sz w:val="26"/>
          <w:szCs w:val="26"/>
          <w:lang w:eastAsia="ru-RU"/>
        </w:rPr>
        <w:t>3 плановых, 13 внеплановых.</w:t>
      </w:r>
    </w:p>
    <w:p w:rsidR="006B11C2" w:rsidRPr="00FC5815" w:rsidRDefault="006B11C2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проверок выявлены и предписаны к устранению </w:t>
      </w:r>
      <w:r w:rsidR="00BD2999">
        <w:rPr>
          <w:rFonts w:ascii="Times New Roman" w:eastAsia="Times New Roman" w:hAnsi="Times New Roman"/>
          <w:sz w:val="26"/>
          <w:szCs w:val="26"/>
          <w:lang w:eastAsia="ru-RU"/>
        </w:rPr>
        <w:t>34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нарушений норм и правил безопасности ГТС.</w:t>
      </w:r>
    </w:p>
    <w:p w:rsidR="006B11C2" w:rsidRDefault="006B11C2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Основные нарушения, выявленные  в ходе проверок:</w:t>
      </w:r>
    </w:p>
    <w:p w:rsidR="00BD2999" w:rsidRPr="00BD2999" w:rsidRDefault="00BD2999" w:rsidP="007E2DE9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D2999">
        <w:rPr>
          <w:rFonts w:ascii="Times New Roman" w:eastAsia="Times New Roman" w:hAnsi="Times New Roman"/>
          <w:sz w:val="26"/>
          <w:szCs w:val="26"/>
          <w:lang w:eastAsia="ru-RU"/>
        </w:rPr>
        <w:t>тсутствует утвержденная декларация безопасности гидротехнических сооружений;</w:t>
      </w:r>
    </w:p>
    <w:p w:rsidR="00BD2999" w:rsidRPr="00BD2999" w:rsidRDefault="00BD2999" w:rsidP="007E2DE9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D2999">
        <w:rPr>
          <w:rFonts w:ascii="Times New Roman" w:eastAsia="Times New Roman" w:hAnsi="Times New Roman"/>
          <w:sz w:val="26"/>
          <w:szCs w:val="26"/>
          <w:lang w:eastAsia="ru-RU"/>
        </w:rPr>
        <w:t>тсутствует разрешение на эксплуатацию гидротехнических сооружений;</w:t>
      </w:r>
    </w:p>
    <w:p w:rsidR="006B11C2" w:rsidRPr="00BD2999" w:rsidRDefault="00BD2999" w:rsidP="007E2DE9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B11C2" w:rsidRPr="00BD2999">
        <w:rPr>
          <w:rFonts w:ascii="Times New Roman" w:eastAsia="Times New Roman" w:hAnsi="Times New Roman"/>
          <w:sz w:val="26"/>
          <w:szCs w:val="26"/>
          <w:lang w:eastAsia="ru-RU"/>
        </w:rPr>
        <w:t>тсутствует разработанные и согласованные с Ростехнадзором правила эксплуатации гидротехнических сооружений;</w:t>
      </w:r>
    </w:p>
    <w:p w:rsidR="006B11C2" w:rsidRPr="00BD2999" w:rsidRDefault="00BD2999" w:rsidP="007E2DE9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B11C2" w:rsidRPr="00BD2999">
        <w:rPr>
          <w:rFonts w:ascii="Times New Roman" w:eastAsia="Times New Roman" w:hAnsi="Times New Roman"/>
          <w:sz w:val="26"/>
          <w:szCs w:val="26"/>
          <w:lang w:eastAsia="ru-RU"/>
        </w:rPr>
        <w:t>е обеспечены необходимой квалификацией работники, обслуживающие ГТС;</w:t>
      </w:r>
    </w:p>
    <w:p w:rsidR="00990FF9" w:rsidRPr="00FC5815" w:rsidRDefault="00990FF9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0FF9" w:rsidRDefault="00990FF9" w:rsidP="007E2DE9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15075" cy="26289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0FF9" w:rsidRDefault="00990FF9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FF9" w:rsidRDefault="00990FF9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FF9" w:rsidRDefault="00FD0682" w:rsidP="007E2DE9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26289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11C2" w:rsidRPr="00FC5815" w:rsidRDefault="006B11C2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проведенных проверок </w:t>
      </w:r>
      <w:r w:rsidR="0053437E">
        <w:rPr>
          <w:rFonts w:ascii="Times New Roman" w:eastAsia="Times New Roman" w:hAnsi="Times New Roman"/>
          <w:sz w:val="26"/>
          <w:szCs w:val="26"/>
          <w:lang w:eastAsia="ru-RU"/>
        </w:rPr>
        <w:t xml:space="preserve">в 2016 году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за нарушения норм и правил безопасности ГТС к административной ответственности привлечены </w:t>
      </w:r>
      <w:r w:rsidR="0053437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должностных лиц</w:t>
      </w:r>
      <w:r w:rsidR="005343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53437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юридических лиц</w:t>
      </w:r>
      <w:r w:rsidR="005343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. Сумма наложенных административных штрафов составила </w:t>
      </w:r>
      <w:r w:rsidR="0053437E"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рублей. </w:t>
      </w:r>
    </w:p>
    <w:p w:rsidR="00FD0682" w:rsidRDefault="00FD0682" w:rsidP="007E2DE9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2581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0682" w:rsidRDefault="00FD0682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682" w:rsidRDefault="00FD0682" w:rsidP="007E2DE9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25812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17AA" w:rsidRDefault="00F717AA" w:rsidP="007E2DE9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7AA" w:rsidRDefault="00F717AA" w:rsidP="007E2DE9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A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2581275"/>
            <wp:effectExtent l="19050" t="0" r="19050" b="0"/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B3AD1" w:rsidRPr="00AC646F" w:rsidRDefault="005B3AD1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1C2" w:rsidRPr="00AC646F" w:rsidRDefault="006B11C2" w:rsidP="007E2DE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646F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организации и проведения в 2016 году безаварийного пропуска весеннего половодья и паводков, предотвращения аварий гидротехнических сооружений, поднадзорных </w:t>
      </w:r>
      <w:r w:rsidR="00F717AA" w:rsidRPr="00AC646F">
        <w:rPr>
          <w:rFonts w:ascii="Times New Roman" w:eastAsia="Times New Roman" w:hAnsi="Times New Roman"/>
          <w:sz w:val="26"/>
          <w:szCs w:val="26"/>
          <w:lang w:eastAsia="ru-RU"/>
        </w:rPr>
        <w:t>Сахалинскому</w:t>
      </w:r>
      <w:r w:rsidRPr="00AC646F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управлению Ростехнадзора.  проведены следующие мероприятия:</w:t>
      </w:r>
    </w:p>
    <w:p w:rsidR="008948B0" w:rsidRPr="00AC646F" w:rsidRDefault="008948B0" w:rsidP="007E2DE9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Сахалинским управлением Ростехнадзора (далее «управление») были направлены поднадзорным организациям информационные письма, где указывается информация о сроках вскрытия большинства рек Сахалинской области, о возможных максимальных уровнях подъёма воды. Информация о сроках начала паводка дана отдельно по каждому муниципальному образованию. </w:t>
      </w:r>
    </w:p>
    <w:p w:rsidR="008948B0" w:rsidRPr="00AC646F" w:rsidRDefault="008948B0" w:rsidP="007E2DE9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Владельцам ГТС и эксплуатирующим организациям </w:t>
      </w:r>
      <w:r w:rsidR="00AC646F" w:rsidRPr="00AC646F">
        <w:rPr>
          <w:sz w:val="26"/>
          <w:szCs w:val="26"/>
        </w:rPr>
        <w:t xml:space="preserve">было предписано </w:t>
      </w:r>
      <w:proofErr w:type="spellStart"/>
      <w:r w:rsidRPr="00AC646F">
        <w:rPr>
          <w:sz w:val="26"/>
          <w:szCs w:val="26"/>
        </w:rPr>
        <w:t>предписано</w:t>
      </w:r>
      <w:proofErr w:type="spellEnd"/>
      <w:r w:rsidRPr="00AC646F">
        <w:rPr>
          <w:sz w:val="26"/>
          <w:szCs w:val="26"/>
        </w:rPr>
        <w:t>: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 соответствии с правилами эксплуатации создать паводковую комиссию, копию приказа направить в Сахалинское управление Ростехнадзора;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паводка выполнить осмотр всех сооружений, конструкций и механизмов, связанных с его пропуском, произвести опробование затворов, произвести необходимый ремонт, копию акта осмотра и перечень выявленных недостатков направить в управление;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lastRenderedPageBreak/>
        <w:t>Направить план мероприятий по безопасному приёму или пропуску паводковых вод 2016 г.;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Подготовить и направить  в управление информацию и наличие финансовых резервов, материальных средств, достаточности таких средств;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весеннего паводка необходимо обеспечить очистку сбросного канала от снега, во избежание заторов;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весеннего паводка и во время его прохождения, усилить контроль над состоянием всех сооружений, конструкций и механизмов;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 паводковый период не допускать превышения расчетного максимального подпорного уровня, при необходимости открывать донный водосброс;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Эксплуатировать ГТС в соответствии с согласованными правилами эксплуатации ГТС;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Начиная с 1 апреля 2016 г. направлять в управление информацию о ледовой обстановке и уровне воды на ГТС;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Подготовить и направить информацию об обучении и аттестации специалистов и рабочих, связанных с эксплуатацией ГТС;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Направить акт о готовности сооружения к приёму и пропуску паводка, утвержденного руководителем (техническим руководителем) организации;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Направить информацию о выполнение комплекса инженерно-технических мероприятий по углублению и расчистке русел рек, укреплению берегов, отсыпке дамб и дорог;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При возникновении угрозы аварийной ситуации, а так же при возникновении аварийной ситуации, незамедлительно проинформировать управление.</w:t>
      </w:r>
    </w:p>
    <w:p w:rsidR="008948B0" w:rsidRPr="00AC646F" w:rsidRDefault="008948B0" w:rsidP="007E2DE9">
      <w:pPr>
        <w:pStyle w:val="21"/>
        <w:tabs>
          <w:tab w:val="left" w:pos="709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Собственники и эксплуатирующие организации в соответствии с запросом Сахалинского управления Ростехнадзора, выполнили и направили: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Копию приказа о создании </w:t>
      </w:r>
      <w:proofErr w:type="spellStart"/>
      <w:r w:rsidRPr="00AC646F">
        <w:rPr>
          <w:sz w:val="26"/>
          <w:szCs w:val="26"/>
        </w:rPr>
        <w:t>противопаводковой</w:t>
      </w:r>
      <w:proofErr w:type="spellEnd"/>
      <w:r w:rsidRPr="00AC646F">
        <w:rPr>
          <w:sz w:val="26"/>
          <w:szCs w:val="26"/>
        </w:rPr>
        <w:t xml:space="preserve"> комиссии;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Собственниками и эксплуатирующими организациями были произведены осмотры всех сооружений, конструкций и механизмов, связанных с пропуском паводков, копии актов осмотров направлены в Сахалинское управление Ростехнадзора (далее «управление»);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Направлены планы мероприятий по безопасному приёму или пропуску паводковых вод 2016 г.;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Направлена в управление информация о наличие финансовых резервов, материальных средств, достаточности таких средств; 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Обеспечена очистка сбросных каналов от снега, во избежание заторов;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Усилен контроль над состоянием всех сооружений, конструкций и механизмов;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Начиная с 1 апреля 2016 г. направляется в управление информация о ледовой обстановке и уровне воды на ГТС;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Направлена информация об обучении и аттестации специалистов и рабочих, связанных с эксплуатацией ГТС;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lastRenderedPageBreak/>
        <w:t>Направлена информация о выполнении (необходимости выполнения) комплекса инженерно-технических мероприятий, углублению и расчистке русел рек, укреплению берегов, отсыпке дамб и дорог.</w:t>
      </w:r>
    </w:p>
    <w:p w:rsidR="008948B0" w:rsidRPr="00AC646F" w:rsidRDefault="008948B0" w:rsidP="007E2DE9">
      <w:pPr>
        <w:pStyle w:val="21"/>
        <w:tabs>
          <w:tab w:val="left" w:pos="709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Представитель управления еженедельно </w:t>
      </w:r>
      <w:r w:rsidR="00AC646F" w:rsidRPr="00AC646F">
        <w:rPr>
          <w:sz w:val="26"/>
          <w:szCs w:val="26"/>
        </w:rPr>
        <w:t>участвовал</w:t>
      </w:r>
      <w:r w:rsidRPr="00AC646F">
        <w:rPr>
          <w:sz w:val="26"/>
          <w:szCs w:val="26"/>
        </w:rPr>
        <w:t xml:space="preserve"> в работе комиссии по предупреждению и ликвидации чрезвычайных ситуаций и обеспечению пожарной безопасности Сахалинской области.</w:t>
      </w:r>
    </w:p>
    <w:p w:rsidR="008948B0" w:rsidRPr="00AC646F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Для безопасного прохождения весеннего половодья и паводка</w:t>
      </w:r>
      <w:r w:rsidR="00AC646F" w:rsidRPr="00AC646F">
        <w:rPr>
          <w:sz w:val="26"/>
          <w:szCs w:val="26"/>
        </w:rPr>
        <w:t xml:space="preserve"> в</w:t>
      </w:r>
      <w:r w:rsidRPr="00AC646F">
        <w:rPr>
          <w:sz w:val="26"/>
          <w:szCs w:val="26"/>
        </w:rPr>
        <w:t xml:space="preserve"> 2016 год</w:t>
      </w:r>
      <w:r w:rsidR="00AC646F" w:rsidRPr="00AC646F">
        <w:rPr>
          <w:sz w:val="26"/>
          <w:szCs w:val="26"/>
        </w:rPr>
        <w:t>у</w:t>
      </w:r>
      <w:r w:rsidRPr="00AC646F">
        <w:rPr>
          <w:sz w:val="26"/>
          <w:szCs w:val="26"/>
        </w:rPr>
        <w:t xml:space="preserve">, управлением </w:t>
      </w:r>
      <w:r w:rsidR="00AC646F" w:rsidRPr="00AC646F">
        <w:rPr>
          <w:sz w:val="26"/>
          <w:szCs w:val="26"/>
        </w:rPr>
        <w:t xml:space="preserve">была </w:t>
      </w:r>
      <w:r w:rsidRPr="00AC646F">
        <w:rPr>
          <w:sz w:val="26"/>
          <w:szCs w:val="26"/>
        </w:rPr>
        <w:t xml:space="preserve">запланирована проверка ГТС водохранилища на оз. Медвежье, г. Оха в период паводка 2016 года, но проверка не состоялась из-за смены эксплуатирующей организации. </w:t>
      </w:r>
    </w:p>
    <w:p w:rsidR="008948B0" w:rsidRPr="00AC646F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Проведена совместная проверка с Углегорской городской прокуратурой ГТС водохранилища на </w:t>
      </w:r>
      <w:proofErr w:type="spellStart"/>
      <w:r w:rsidRPr="00AC646F">
        <w:rPr>
          <w:sz w:val="26"/>
          <w:szCs w:val="26"/>
        </w:rPr>
        <w:t>руч</w:t>
      </w:r>
      <w:proofErr w:type="spellEnd"/>
      <w:r w:rsidRPr="00AC646F">
        <w:rPr>
          <w:sz w:val="26"/>
          <w:szCs w:val="26"/>
        </w:rPr>
        <w:t xml:space="preserve">. Токариной в г. Шахтерске, при проверке выяснилось, что ГТС эксплуатируется без согласованных правил эксплуатации ГТС, не аттестованы специалисты и рабочие в Ростехнадзоре. </w:t>
      </w:r>
    </w:p>
    <w:p w:rsidR="008948B0" w:rsidRPr="00AC646F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Проведено </w:t>
      </w:r>
      <w:proofErr w:type="spellStart"/>
      <w:r w:rsidRPr="00AC646F">
        <w:rPr>
          <w:sz w:val="26"/>
          <w:szCs w:val="26"/>
        </w:rPr>
        <w:t>преддекларационное</w:t>
      </w:r>
      <w:proofErr w:type="spellEnd"/>
      <w:r w:rsidRPr="00AC646F">
        <w:rPr>
          <w:sz w:val="26"/>
          <w:szCs w:val="26"/>
        </w:rPr>
        <w:t xml:space="preserve"> обследование ГТС водохранилища в створах рек Узкая, талая и </w:t>
      </w:r>
      <w:proofErr w:type="spellStart"/>
      <w:r w:rsidRPr="00AC646F">
        <w:rPr>
          <w:sz w:val="26"/>
          <w:szCs w:val="26"/>
        </w:rPr>
        <w:t>руч</w:t>
      </w:r>
      <w:proofErr w:type="spellEnd"/>
      <w:r w:rsidRPr="00AC646F">
        <w:rPr>
          <w:sz w:val="26"/>
          <w:szCs w:val="26"/>
        </w:rPr>
        <w:t>. Безымянный, г. Корсаков, нарушений не выявлено, собственником ГТС произведен капитальный ремонт.</w:t>
      </w:r>
    </w:p>
    <w:p w:rsidR="008948B0" w:rsidRPr="00AC646F" w:rsidRDefault="008948B0" w:rsidP="007E2DE9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 ГТС с опасным уровнем безопасности (ГТС водохранилища на реке Рогатка в гор. Южно-Сахалинске, ГТС водохранилища на р. Малка в гор. Холмск, ГТС водохранилища «</w:t>
      </w:r>
      <w:proofErr w:type="spellStart"/>
      <w:r w:rsidRPr="00AC646F">
        <w:rPr>
          <w:sz w:val="26"/>
          <w:szCs w:val="26"/>
        </w:rPr>
        <w:t>Маока-Зова</w:t>
      </w:r>
      <w:proofErr w:type="spellEnd"/>
      <w:r w:rsidRPr="00AC646F">
        <w:rPr>
          <w:sz w:val="26"/>
          <w:szCs w:val="26"/>
        </w:rPr>
        <w:t xml:space="preserve">» на р. Татарка в г. Холмск) проведен капитальный ремонт. </w:t>
      </w:r>
    </w:p>
    <w:p w:rsidR="008948B0" w:rsidRPr="00AC646F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ГТС, относящиеся к </w:t>
      </w:r>
      <w:proofErr w:type="spellStart"/>
      <w:r w:rsidRPr="00AC646F">
        <w:rPr>
          <w:sz w:val="26"/>
          <w:szCs w:val="26"/>
        </w:rPr>
        <w:t>энергетик</w:t>
      </w:r>
      <w:r w:rsidR="00AC646F" w:rsidRPr="00AC646F">
        <w:rPr>
          <w:sz w:val="26"/>
          <w:szCs w:val="26"/>
        </w:rPr>
        <w:t>ческому</w:t>
      </w:r>
      <w:proofErr w:type="spellEnd"/>
      <w:r w:rsidR="00AC646F" w:rsidRPr="00AC646F">
        <w:rPr>
          <w:sz w:val="26"/>
          <w:szCs w:val="26"/>
        </w:rPr>
        <w:t xml:space="preserve"> комплексу</w:t>
      </w:r>
      <w:r w:rsidRPr="00AC646F">
        <w:rPr>
          <w:sz w:val="26"/>
          <w:szCs w:val="26"/>
        </w:rPr>
        <w:t xml:space="preserve"> имеют разрешения на эксплуатацию, техническое состояние определено как работоспособное и не представляет опасности для электроснабжения в паводковый период.</w:t>
      </w:r>
    </w:p>
    <w:p w:rsidR="008948B0" w:rsidRPr="00AC646F" w:rsidRDefault="008948B0" w:rsidP="007E2DE9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Все поднадзорные ГТС в технически исправном состоянии, аварийных ситуаций на поднадзорных ГТС не было.</w:t>
      </w:r>
    </w:p>
    <w:p w:rsidR="008948B0" w:rsidRPr="00AC646F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Поднадзорные ГТС </w:t>
      </w:r>
      <w:r w:rsidRPr="00AC646F">
        <w:rPr>
          <w:sz w:val="26"/>
          <w:szCs w:val="26"/>
          <w:lang w:val="en-US"/>
        </w:rPr>
        <w:t>I</w:t>
      </w:r>
      <w:r w:rsidRPr="00AC646F">
        <w:rPr>
          <w:sz w:val="26"/>
          <w:szCs w:val="26"/>
        </w:rPr>
        <w:t xml:space="preserve"> класса и ГТС на которых установлен режим постоянного государственного надзора отсутствуют.</w:t>
      </w:r>
    </w:p>
    <w:p w:rsidR="00167D7D" w:rsidRPr="00AC646F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Бесхозяйных ГТС на территории Сахалинской области нет.</w:t>
      </w:r>
    </w:p>
    <w:p w:rsidR="003A209C" w:rsidRPr="00AC646F" w:rsidRDefault="003A209C" w:rsidP="007E2D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46F">
        <w:rPr>
          <w:rFonts w:ascii="Times New Roman" w:hAnsi="Times New Roman"/>
          <w:sz w:val="26"/>
          <w:szCs w:val="26"/>
        </w:rPr>
        <w:t xml:space="preserve">В течение 2016 года Управление предоставляло  аналитическую информацию </w:t>
      </w:r>
      <w:r w:rsidR="008948B0" w:rsidRPr="00AC646F">
        <w:rPr>
          <w:rFonts w:ascii="Times New Roman" w:hAnsi="Times New Roman"/>
          <w:sz w:val="26"/>
          <w:szCs w:val="26"/>
        </w:rPr>
        <w:t>органам исполнительной власти</w:t>
      </w:r>
      <w:r w:rsidRPr="00AC646F">
        <w:rPr>
          <w:rFonts w:ascii="Times New Roman" w:hAnsi="Times New Roman"/>
          <w:sz w:val="26"/>
          <w:szCs w:val="26"/>
        </w:rPr>
        <w:t xml:space="preserve">, прокуратуры, в </w:t>
      </w:r>
      <w:r w:rsidR="008948B0" w:rsidRPr="00AC646F">
        <w:rPr>
          <w:rFonts w:ascii="Times New Roman" w:hAnsi="Times New Roman"/>
          <w:sz w:val="26"/>
          <w:szCs w:val="26"/>
        </w:rPr>
        <w:t>Дальневосточное</w:t>
      </w:r>
      <w:r w:rsidRPr="00AC646F">
        <w:rPr>
          <w:rFonts w:ascii="Times New Roman" w:hAnsi="Times New Roman"/>
          <w:sz w:val="26"/>
          <w:szCs w:val="26"/>
        </w:rPr>
        <w:t xml:space="preserve"> бассейновое водное управление, МЧС России по </w:t>
      </w:r>
      <w:r w:rsidR="008948B0" w:rsidRPr="00AC646F">
        <w:rPr>
          <w:rFonts w:ascii="Times New Roman" w:hAnsi="Times New Roman"/>
          <w:sz w:val="26"/>
          <w:szCs w:val="26"/>
        </w:rPr>
        <w:t>Сахалинской области</w:t>
      </w:r>
      <w:r w:rsidRPr="00AC646F">
        <w:rPr>
          <w:rFonts w:ascii="Times New Roman" w:hAnsi="Times New Roman"/>
          <w:sz w:val="26"/>
          <w:szCs w:val="26"/>
        </w:rPr>
        <w:t xml:space="preserve"> о состоянии безопасности гидротехнических сооружений. </w:t>
      </w:r>
    </w:p>
    <w:p w:rsidR="00AC646F" w:rsidRDefault="003A209C" w:rsidP="007E2D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46F">
        <w:rPr>
          <w:rFonts w:ascii="Times New Roman" w:hAnsi="Times New Roman"/>
          <w:sz w:val="26"/>
          <w:szCs w:val="26"/>
        </w:rPr>
        <w:t xml:space="preserve">Сотрудники Управления участвуют  в совещаниях при Председателе Правительства </w:t>
      </w:r>
      <w:r w:rsidR="00AC646F" w:rsidRPr="00AC646F">
        <w:rPr>
          <w:rFonts w:ascii="Times New Roman" w:hAnsi="Times New Roman"/>
          <w:sz w:val="26"/>
          <w:szCs w:val="26"/>
        </w:rPr>
        <w:t xml:space="preserve">Сахалинской области </w:t>
      </w:r>
      <w:r w:rsidR="00AC646F">
        <w:rPr>
          <w:rFonts w:ascii="Times New Roman" w:hAnsi="Times New Roman"/>
          <w:sz w:val="26"/>
          <w:szCs w:val="26"/>
        </w:rPr>
        <w:t xml:space="preserve">и </w:t>
      </w:r>
      <w:r w:rsidR="00AC646F" w:rsidRPr="00AC646F">
        <w:rPr>
          <w:rFonts w:ascii="Times New Roman" w:hAnsi="Times New Roman"/>
          <w:sz w:val="26"/>
          <w:szCs w:val="26"/>
        </w:rPr>
        <w:t>МЧС России по Сахалинской области.</w:t>
      </w:r>
    </w:p>
    <w:p w:rsidR="003A209C" w:rsidRPr="00A53A1D" w:rsidRDefault="003A209C" w:rsidP="007E2D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46F">
        <w:rPr>
          <w:rFonts w:ascii="Times New Roman" w:hAnsi="Times New Roman"/>
          <w:sz w:val="26"/>
          <w:szCs w:val="26"/>
        </w:rPr>
        <w:t>Гидродинамических аварий и случаев травматизма при эксплуатации ГТС на поднадзорных предприятиях и организациях в период с 2012 – 2016 г.г. не зарегистрировано. При этом вероятность аварий ГТС увеличивается за счет физического и морального старения сооружений, уменьшения численности эксплуатационного персонала, ограничений объемов финансирования на содержание ГТС. Наиболее высокий уровень риска аварий может возникнуть  на объектах водохозяйственного комплекса.</w:t>
      </w:r>
    </w:p>
    <w:p w:rsidR="00CD4365" w:rsidRPr="00A53A1D" w:rsidRDefault="00CD4365" w:rsidP="007E2DE9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bookmarkStart w:id="1" w:name="_Toc478055554"/>
      <w:r w:rsidRPr="00A53A1D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lastRenderedPageBreak/>
        <w:t>Предложения по совершенствованию нормативно-правового регулирования и осуществления государственного контроля (надзора) в установленной сфере деятельности</w:t>
      </w:r>
      <w:bookmarkEnd w:id="1"/>
    </w:p>
    <w:p w:rsidR="00D51560" w:rsidRPr="00A53A1D" w:rsidRDefault="00D51560" w:rsidP="007E2DE9">
      <w:pPr>
        <w:spacing w:after="0"/>
        <w:ind w:firstLine="709"/>
        <w:rPr>
          <w:sz w:val="26"/>
          <w:szCs w:val="26"/>
          <w:lang w:eastAsia="ru-RU"/>
        </w:rPr>
      </w:pPr>
    </w:p>
    <w:p w:rsidR="00CD4365" w:rsidRPr="00A53A1D" w:rsidRDefault="00CD4365" w:rsidP="007E2DE9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A53A1D">
        <w:rPr>
          <w:rFonts w:ascii="Times New Roman" w:eastAsia="Times New Roman" w:hAnsi="Times New Roman"/>
          <w:i/>
          <w:sz w:val="26"/>
          <w:szCs w:val="26"/>
          <w:lang w:eastAsia="ru-RU"/>
        </w:rPr>
        <w:t>В сфере надзора за безопасностью гидротехнических сооружений</w:t>
      </w: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:</w:t>
      </w:r>
    </w:p>
    <w:p w:rsidR="00CD4365" w:rsidRPr="00A53A1D" w:rsidRDefault="00CD4365" w:rsidP="007E2DE9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 xml:space="preserve">- </w:t>
      </w:r>
      <w:r w:rsidR="00167D7D"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 xml:space="preserve"> Разработать </w:t>
      </w: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типовую форму решения о консервации и (или) ликвидации гидротехнического сооружения;</w:t>
      </w:r>
    </w:p>
    <w:p w:rsidR="00CD4365" w:rsidRPr="00A53A1D" w:rsidRDefault="00CD4365" w:rsidP="007E2DE9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 xml:space="preserve">- </w:t>
      </w:r>
      <w:r w:rsidR="00167D7D"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 xml:space="preserve"> Разработать </w:t>
      </w: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форму акта обследования гидротехнического сооружения и его территории после осуществления мероприятий по консервации и (или) ликвидации;</w:t>
      </w:r>
    </w:p>
    <w:p w:rsidR="00CD4365" w:rsidRPr="00A53A1D" w:rsidRDefault="00CD4365" w:rsidP="00A53A1D">
      <w:pPr>
        <w:spacing w:after="0" w:line="240" w:lineRule="auto"/>
        <w:ind w:firstLine="709"/>
        <w:rPr>
          <w:sz w:val="26"/>
          <w:szCs w:val="26"/>
        </w:rPr>
      </w:pPr>
    </w:p>
    <w:p w:rsidR="00CD4365" w:rsidRDefault="00CD4365" w:rsidP="00CD4365"/>
    <w:p w:rsidR="00CD4365" w:rsidRDefault="00CD4365">
      <w:pPr>
        <w:rPr>
          <w:rFonts w:asciiTheme="minorHAnsi" w:eastAsiaTheme="minorHAnsi" w:hAnsiTheme="minorHAnsi" w:cstheme="minorBidi"/>
        </w:rPr>
      </w:pPr>
    </w:p>
    <w:sectPr w:rsidR="00CD4365" w:rsidSect="00A53A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12D"/>
    <w:multiLevelType w:val="hybridMultilevel"/>
    <w:tmpl w:val="9FB6A7AE"/>
    <w:lvl w:ilvl="0" w:tplc="F0B2754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7A06BAB"/>
    <w:multiLevelType w:val="hybridMultilevel"/>
    <w:tmpl w:val="8E76E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3173D"/>
    <w:multiLevelType w:val="hybridMultilevel"/>
    <w:tmpl w:val="454A7D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13A7D4F"/>
    <w:multiLevelType w:val="hybridMultilevel"/>
    <w:tmpl w:val="2A58B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918F8"/>
    <w:multiLevelType w:val="hybridMultilevel"/>
    <w:tmpl w:val="7A7C8490"/>
    <w:lvl w:ilvl="0" w:tplc="F0B2754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93409"/>
    <w:multiLevelType w:val="hybridMultilevel"/>
    <w:tmpl w:val="F26A7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4A42"/>
    <w:rsid w:val="00167D7D"/>
    <w:rsid w:val="001945F7"/>
    <w:rsid w:val="002126A8"/>
    <w:rsid w:val="0022207F"/>
    <w:rsid w:val="00226AD1"/>
    <w:rsid w:val="0030610C"/>
    <w:rsid w:val="003125E0"/>
    <w:rsid w:val="003A209C"/>
    <w:rsid w:val="003B2732"/>
    <w:rsid w:val="004540C8"/>
    <w:rsid w:val="0053437E"/>
    <w:rsid w:val="005A1B57"/>
    <w:rsid w:val="005B3AD1"/>
    <w:rsid w:val="00645CF2"/>
    <w:rsid w:val="006B11C2"/>
    <w:rsid w:val="00721B73"/>
    <w:rsid w:val="007B1E25"/>
    <w:rsid w:val="007E2DE9"/>
    <w:rsid w:val="008948B0"/>
    <w:rsid w:val="008F45ED"/>
    <w:rsid w:val="00923116"/>
    <w:rsid w:val="00945CA3"/>
    <w:rsid w:val="00990FF9"/>
    <w:rsid w:val="009955DA"/>
    <w:rsid w:val="009A5645"/>
    <w:rsid w:val="009B4A42"/>
    <w:rsid w:val="00A53A1D"/>
    <w:rsid w:val="00A8766E"/>
    <w:rsid w:val="00AC646F"/>
    <w:rsid w:val="00AC7DC8"/>
    <w:rsid w:val="00AD24FD"/>
    <w:rsid w:val="00B24CF2"/>
    <w:rsid w:val="00B74BEE"/>
    <w:rsid w:val="00BD2999"/>
    <w:rsid w:val="00C11F0B"/>
    <w:rsid w:val="00C26881"/>
    <w:rsid w:val="00C81F21"/>
    <w:rsid w:val="00CD4365"/>
    <w:rsid w:val="00D51560"/>
    <w:rsid w:val="00E1566D"/>
    <w:rsid w:val="00E967BE"/>
    <w:rsid w:val="00F717AA"/>
    <w:rsid w:val="00F91E65"/>
    <w:rsid w:val="00FC5815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45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645CF2"/>
  </w:style>
  <w:style w:type="character" w:customStyle="1" w:styleId="20">
    <w:name w:val="Заголовок 2 Знак"/>
    <w:basedOn w:val="a0"/>
    <w:link w:val="2"/>
    <w:uiPriority w:val="9"/>
    <w:rsid w:val="0064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45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E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1C2"/>
    <w:pPr>
      <w:ind w:left="720"/>
      <w:contextualSpacing/>
    </w:pPr>
  </w:style>
  <w:style w:type="paragraph" w:styleId="21">
    <w:name w:val="Body Text 2"/>
    <w:basedOn w:val="a"/>
    <w:link w:val="22"/>
    <w:rsid w:val="008948B0"/>
    <w:pPr>
      <w:spacing w:after="0" w:line="240" w:lineRule="auto"/>
      <w:ind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48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B3675554D33F92E36DB4FA7FF697766A33FBFE9050BE890758B38B7937F6AC1B02C8D52DC188DAO8XCH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Рис</a:t>
            </a: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. 1. 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 отрасевому признаку комплексов ГТС поднадзорных Сахалинскому управлению ростехнадзора</a:t>
            </a:r>
          </a:p>
        </c:rich>
      </c:tx>
      <c:layout>
        <c:manualLayout>
          <c:xMode val="edge"/>
          <c:yMode val="edge"/>
          <c:x val="0.10850662185745311"/>
          <c:y val="2.4464831804281339E-2"/>
        </c:manualLayout>
      </c:layout>
      <c:spPr>
        <a:noFill/>
        <a:ln w="25401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отрасевому признаку комплексов ГТС поднадзорных Ленскому управлению ростехнадзора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delete val="1"/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2"/>
                <c:pt idx="0">
                  <c:v>ГТС энергетического комплекса</c:v>
                </c:pt>
                <c:pt idx="1">
                  <c:v>ГТС водохозяйственного комплекса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1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59953709490017459"/>
          <c:y val="0.36112820759790393"/>
          <c:w val="0.38657410756517685"/>
          <c:h val="0.55059980999307689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 2. Распределение ГТС
в соответствии с критериями классификации 
по классам</a:t>
            </a: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 2. Распределение ГТС
по классификации в зависимости
от их высоты и типа грунтов основания
по классам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I класс — 0 комплексов</c:v>
                </c:pt>
                <c:pt idx="1">
                  <c:v>II класс — 1 комплекс</c:v>
                </c:pt>
                <c:pt idx="2">
                  <c:v>III клас —5 комплексов </c:v>
                </c:pt>
                <c:pt idx="3">
                  <c:v>IV класс — 3 комплекса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уровня безопасности
по данным Российского регистра ГТС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delete val="1"/>
            </c:dLbl>
            <c:dLbl>
              <c:idx val="3"/>
              <c:delete val="1"/>
            </c:dLbl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Нормальный - 0</c:v>
                </c:pt>
                <c:pt idx="1">
                  <c:v>Пониженный - 7</c:v>
                </c:pt>
                <c:pt idx="2">
                  <c:v>Неудовлетворительный - 2</c:v>
                </c:pt>
                <c:pt idx="3">
                  <c:v>Опасный - 0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 w="25401">
          <a:noFill/>
        </a:ln>
      </c:spPr>
    </c:plotArea>
    <c:legend>
      <c:legendPos val="t"/>
      <c:layout/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проверок в области гиротехнических сооружений с разбивкой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2.0110608345902431E-3"/>
                  <c:y val="-0.1521739130434783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110608345902067E-3"/>
                  <c:y val="-0.22826086956521741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3738045440116245E-17"/>
                  <c:y val="-0.18478260869565216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34057971014492788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747609088023249E-16"/>
                  <c:y val="-0.22826086956521741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10</c:v>
                </c:pt>
                <c:pt idx="3">
                  <c:v>6</c:v>
                </c:pt>
                <c:pt idx="4">
                  <c:v>16</c:v>
                </c:pt>
              </c:numCache>
            </c:numRef>
          </c:val>
        </c:ser>
        <c:overlap val="100"/>
        <c:axId val="56724096"/>
        <c:axId val="56742272"/>
      </c:barChart>
      <c:catAx>
        <c:axId val="56724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742272"/>
        <c:crosses val="autoZero"/>
        <c:auto val="1"/>
        <c:lblAlgn val="ctr"/>
        <c:lblOffset val="100"/>
      </c:catAx>
      <c:valAx>
        <c:axId val="56742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5672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нарушений выявленных в ходе проверок в области гиротехнических сооружений с разбивкой по годам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2255943348507851E-2"/>
          <c:y val="0.18800000000000022"/>
          <c:w val="0.95548811330298433"/>
          <c:h val="0.5658282197483944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нарушений выявленных в ходе проверок в области гиротехнических сооружений с разбивкой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2267055388941351E-5"/>
                  <c:y val="-0.1088133495508182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110608345902067E-3"/>
                  <c:y val="-0.22826086956521741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185620829737745E-17"/>
                  <c:y val="-0.13780879016139294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28999253142137721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0.11985973298053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5</c:v>
                </c:pt>
                <c:pt idx="2">
                  <c:v>19</c:v>
                </c:pt>
                <c:pt idx="3">
                  <c:v>17</c:v>
                </c:pt>
                <c:pt idx="4">
                  <c:v>34</c:v>
                </c:pt>
              </c:numCache>
            </c:numRef>
          </c:val>
        </c:ser>
        <c:overlap val="100"/>
        <c:axId val="56807808"/>
        <c:axId val="56809344"/>
      </c:barChart>
      <c:catAx>
        <c:axId val="56807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809344"/>
        <c:crosses val="autoZero"/>
        <c:auto val="1"/>
        <c:lblAlgn val="ctr"/>
        <c:lblOffset val="100"/>
      </c:catAx>
      <c:valAx>
        <c:axId val="568093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5680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юридических лиц, привлеченных к административной ответственности  с разбивкой по годам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2391857506361388E-2"/>
          <c:y val="0.17342251950947604"/>
          <c:w val="0.9552162849872764"/>
          <c:h val="0.6318082146086272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юридических лиц, привлеченных к административной ответственности  с разбивкой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2267055388941351E-5"/>
                  <c:y val="-0.1088133495508182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110997575684777E-3"/>
                  <c:y val="-0.29136401101310039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21575972268499846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3271121594210523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927732557800615E-16"/>
                  <c:y val="-0.194098872384827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overlap val="100"/>
        <c:axId val="57157504"/>
        <c:axId val="57159040"/>
      </c:barChart>
      <c:catAx>
        <c:axId val="57157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159040"/>
        <c:crosses val="autoZero"/>
        <c:auto val="1"/>
        <c:lblAlgn val="ctr"/>
        <c:lblOffset val="100"/>
      </c:catAx>
      <c:valAx>
        <c:axId val="571590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5715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должностных лиц, привлеченных к административной ответственности  с разбивкой по годам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должностных лиц, привлеченных к административной ответственности  с разбивкой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2237734086901373E-5"/>
                  <c:y val="-7.1878785234948131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814791555926049E-5"/>
                  <c:y val="-9.19179008441119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16035800234112021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31972517285754848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927732557800615E-16"/>
                  <c:y val="-0.194098872384827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overlap val="100"/>
        <c:axId val="57183616"/>
        <c:axId val="57209984"/>
      </c:barChart>
      <c:catAx>
        <c:axId val="57183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209984"/>
        <c:crosses val="autoZero"/>
        <c:auto val="1"/>
        <c:lblAlgn val="ctr"/>
        <c:lblOffset val="100"/>
      </c:catAx>
      <c:valAx>
        <c:axId val="57209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5718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Сумма наложенных административных штрафов  с разбивкой по годам (тыс. руб.)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наложенных административных штрафов с разбивкой ппо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2237734086901373E-5"/>
                  <c:y val="-7.1878785234948131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814791555926062E-5"/>
                  <c:y val="-9.19179008441119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16035800234112021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31972517285754865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927732557800637E-16"/>
                  <c:y val="-0.194098872384827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322</c:v>
                </c:pt>
                <c:pt idx="2">
                  <c:v>74</c:v>
                </c:pt>
                <c:pt idx="3">
                  <c:v>42</c:v>
                </c:pt>
                <c:pt idx="4">
                  <c:v>44</c:v>
                </c:pt>
              </c:numCache>
            </c:numRef>
          </c:val>
        </c:ser>
        <c:overlap val="100"/>
        <c:axId val="57246848"/>
        <c:axId val="57248384"/>
      </c:barChart>
      <c:catAx>
        <c:axId val="57246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248384"/>
        <c:crosses val="autoZero"/>
        <c:auto val="1"/>
        <c:lblAlgn val="ctr"/>
        <c:lblOffset val="100"/>
      </c:catAx>
      <c:valAx>
        <c:axId val="572483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5724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6A24F-8B89-403D-8581-F11391F8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 Кузьма Евгеньевич</dc:creator>
  <cp:lastModifiedBy>BKhashtyrov</cp:lastModifiedBy>
  <cp:revision>3</cp:revision>
  <dcterms:created xsi:type="dcterms:W3CDTF">2017-05-06T09:16:00Z</dcterms:created>
  <dcterms:modified xsi:type="dcterms:W3CDTF">2017-05-09T21:22:00Z</dcterms:modified>
</cp:coreProperties>
</file>