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5AC" w:rsidRPr="00E524C5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ПРАВОПРИМЕНИТЕЛЬНОЙ ПРАКТИКИ </w:t>
      </w:r>
    </w:p>
    <w:p w:rsidR="002F2D66" w:rsidRDefault="000715AC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</w:p>
    <w:p w:rsidR="002F2D66" w:rsidRDefault="00E358C9" w:rsidP="002F2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8C9" w:rsidRPr="007312CB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12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 2016 </w:t>
      </w:r>
      <w:r w:rsidR="007312CB" w:rsidRPr="007312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</w:t>
      </w:r>
      <w:r w:rsidRPr="007312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58C9" w:rsidRPr="00B7227C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 xml:space="preserve"> (со статистикой типовых и массовых нарушений обязательных требований с возможными мероприятиями по их устранению)</w:t>
      </w:r>
    </w:p>
    <w:p w:rsidR="000715AC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F3235B">
      <w:pPr>
        <w:spacing w:after="0" w:line="240" w:lineRule="auto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Pr="00D80C27" w:rsidRDefault="00E358C9" w:rsidP="003F2192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80C2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Нормативные правовые акты, принятые в 2016 году</w:t>
      </w:r>
    </w:p>
    <w:p w:rsidR="00E358C9" w:rsidRDefault="00E358C9" w:rsidP="003F219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03.07.2016 № 371-ФЗ «О внесении изменения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в статью 55.24 Градостроительного кодекса Российской Федерации»</w:t>
      </w:r>
      <w:r w:rsidRPr="00436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(Правительство Российской Федерации получило полномочия по установлению требований к обеспечению безопасной эксплуатации лифтов, подъемных платформ для инвалидов, эскалаторов, </w:t>
      </w:r>
      <w:r w:rsidR="00993DD0">
        <w:rPr>
          <w:rFonts w:ascii="Times New Roman" w:eastAsia="Calibri" w:hAnsi="Times New Roman" w:cs="Times New Roman"/>
          <w:sz w:val="28"/>
          <w:szCs w:val="28"/>
        </w:rPr>
        <w:t>движущихся пешеходных дорожек).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03.07.2016 № 372-ФЗ «О внесении изменений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в Градостроительный кодекс Российской Федерации и отдельные законодательные акты Российской Федерации»</w:t>
      </w:r>
      <w:r w:rsidRPr="00436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F32">
        <w:rPr>
          <w:rFonts w:ascii="Times New Roman" w:eastAsia="Calibri" w:hAnsi="Times New Roman" w:cs="Times New Roman"/>
          <w:sz w:val="28"/>
          <w:szCs w:val="28"/>
        </w:rPr>
        <w:t>(изменены условия и п</w:t>
      </w:r>
      <w:r w:rsidR="00993DD0">
        <w:rPr>
          <w:rFonts w:ascii="Times New Roman" w:eastAsia="Calibri" w:hAnsi="Times New Roman" w:cs="Times New Roman"/>
          <w:sz w:val="28"/>
          <w:szCs w:val="28"/>
        </w:rPr>
        <w:t>орядок приобретения статуса СРО,</w:t>
      </w: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скорректированы правила формирования компенса</w:t>
      </w:r>
      <w:r w:rsidR="00993DD0">
        <w:rPr>
          <w:rFonts w:ascii="Times New Roman" w:eastAsia="Calibri" w:hAnsi="Times New Roman" w:cs="Times New Roman"/>
          <w:sz w:val="28"/>
          <w:szCs w:val="28"/>
        </w:rPr>
        <w:t>ционного фонда возмещения вреда,</w:t>
      </w: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дополнительно предусматривается формирование в ряде случаев компенсационного фонда обеспечения договорных обязательств, регламентированы правила размещения ср</w:t>
      </w:r>
      <w:r w:rsidR="00993DD0">
        <w:rPr>
          <w:rFonts w:ascii="Times New Roman" w:eastAsia="Calibri" w:hAnsi="Times New Roman" w:cs="Times New Roman"/>
          <w:sz w:val="28"/>
          <w:szCs w:val="28"/>
        </w:rPr>
        <w:t>едств указанных фондов в банках,</w:t>
      </w: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установлены новые требования к разработке СРО стандартов и</w:t>
      </w:r>
      <w:proofErr w:type="gram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внутренних</w:t>
      </w:r>
      <w:r w:rsidR="00993DD0">
        <w:rPr>
          <w:rFonts w:ascii="Times New Roman" w:eastAsia="Calibri" w:hAnsi="Times New Roman" w:cs="Times New Roman"/>
          <w:sz w:val="28"/>
          <w:szCs w:val="28"/>
        </w:rPr>
        <w:t xml:space="preserve"> документов).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19.08.2016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№ 818 «О внесении изменений в постановление Правительства Российской Федерации от 23 августа 2014 г. № 848»</w:t>
      </w:r>
      <w:r w:rsidRPr="00436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6F32">
        <w:rPr>
          <w:rFonts w:ascii="Times New Roman" w:eastAsia="Calibri" w:hAnsi="Times New Roman" w:cs="Times New Roman"/>
          <w:sz w:val="28"/>
          <w:szCs w:val="28"/>
        </w:rPr>
        <w:t>(скорректированы правила проведения технического расследования причин аварий на лифтах, эскалаторах, за исключением эскалаторов в метрополитенах, подъемных платформах для инвалидов); уточнено понятие аварии на опасном объекте).</w:t>
      </w:r>
      <w:proofErr w:type="gramEnd"/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>Изданы приказы Ростехнадзора: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31.03.2016 № 132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</w:t>
      </w:r>
      <w:proofErr w:type="spellStart"/>
      <w:r w:rsidRPr="00436F32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 w:rsidRPr="00436F3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от 14.11.2016 № 471 «</w:t>
      </w:r>
      <w:r w:rsidRPr="00436F32">
        <w:rPr>
          <w:rFonts w:ascii="Times New Roman" w:eastAsia="Calibri" w:hAnsi="Times New Roman" w:cs="Times New Roman"/>
          <w:sz w:val="28"/>
          <w:szCs w:val="28"/>
        </w:rPr>
        <w:t>Об утверждении формы акта о причинах и об обстоятельствах аварии на опасном объекте и формы извещения об аварии на опасном объекте»;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r w:rsidRPr="00436F3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от 16.11.2016 № 478 «Об утверждении Положения о порядке и способе ведения государственного реестра </w:t>
      </w:r>
      <w:proofErr w:type="spellStart"/>
      <w:r w:rsidRPr="00436F32">
        <w:rPr>
          <w:rFonts w:ascii="Times New Roman" w:eastAsia="Calibri" w:hAnsi="Times New Roman" w:cs="Times New Roman"/>
          <w:bCs/>
          <w:sz w:val="28"/>
          <w:szCs w:val="28"/>
        </w:rPr>
        <w:t>саморегулируемых</w:t>
      </w:r>
      <w:proofErr w:type="spellEnd"/>
      <w:r w:rsidRPr="00436F32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 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Ростехнадзора от 19.12.2016 № 540 «О внесении изменений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 xml:space="preserve">в форму единого реестра членов </w:t>
      </w:r>
      <w:proofErr w:type="spellStart"/>
      <w:r w:rsidRPr="00436F32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 организаций, утвержденную приказом Федеральной службы по экологическому, технологическому и атомному надзору от 25 марта 2015 г. № 114»;</w:t>
      </w:r>
    </w:p>
    <w:p w:rsidR="00E358C9" w:rsidRPr="00436F32" w:rsidRDefault="00E358C9" w:rsidP="003F21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F32">
        <w:rPr>
          <w:rFonts w:ascii="Times New Roman" w:eastAsia="Calibri" w:hAnsi="Times New Roman" w:cs="Times New Roman"/>
          <w:sz w:val="28"/>
          <w:szCs w:val="28"/>
        </w:rPr>
        <w:t xml:space="preserve">приказ Ростехнадзора от 28.11.2016 № 498 «О признании утратившим силу приказа Федеральной службы по экологическому, технологическому </w:t>
      </w:r>
      <w:r w:rsidRPr="00436F32">
        <w:rPr>
          <w:rFonts w:ascii="Times New Roman" w:eastAsia="Calibri" w:hAnsi="Times New Roman" w:cs="Times New Roman"/>
          <w:sz w:val="28"/>
          <w:szCs w:val="28"/>
        </w:rPr>
        <w:br/>
        <w:t>и атомному надзору от 05.07.2011 № 356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строительства».</w:t>
      </w:r>
    </w:p>
    <w:p w:rsidR="00851DD9" w:rsidRDefault="00851DD9" w:rsidP="003F2192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803B55" w:rsidRPr="00803B55" w:rsidRDefault="00803B55" w:rsidP="003F2192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803B5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Государственный строительный надзор при строительстве, реконструкции</w:t>
      </w:r>
      <w:r w:rsidR="00C353D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, капитальном ремонте</w:t>
      </w:r>
      <w:r w:rsidRPr="00803B5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объектов капитального строительства </w:t>
      </w:r>
    </w:p>
    <w:p w:rsidR="00AC0BBF" w:rsidRDefault="00AC0BBF" w:rsidP="003F2192">
      <w:pPr>
        <w:tabs>
          <w:tab w:val="center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3DA">
        <w:rPr>
          <w:rFonts w:ascii="Times New Roman" w:hAnsi="Times New Roman" w:cs="Times New Roman"/>
          <w:sz w:val="28"/>
          <w:szCs w:val="28"/>
        </w:rPr>
        <w:t>. За отчетный период 2016 года, под надзором государственного строительного надзора состояло 30 объектов капитального строительства, в том числе: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- 21 объект капитального строительства, 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- 9 объектов реконструкции объектов капитального строительства.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Из них: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- 3 объекта – инфраструктуры железнодорожного транспорта общего пользования (реконструкция ж/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 xml:space="preserve"> мостов);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- 4 объекта - авиационной инфраструктуры: (Модернизация международного аэропорта Южно-Сахалинск. 5 и 6 этапы строительства); «Оснащение ИВПП с магнитным курсом посадки 305° аэродрома Итуруп светосигнальным оборудованием и радиомаячной системой посадки». 1 и 2 этапы строительства.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- 1 объект – инфраструктура морских портов - гидросооружение морского порта (мероприятия по улучшению навигационной обстановки в Северной гавани морского порта Холмск - волнолом); 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 w:rsidRPr="00C353DA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C353DA"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- 1 объект – гидротехнические сооружения </w:t>
      </w:r>
      <w:r w:rsidRPr="00C353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3DA">
        <w:rPr>
          <w:rFonts w:ascii="Times New Roman" w:hAnsi="Times New Roman" w:cs="Times New Roman"/>
          <w:sz w:val="28"/>
          <w:szCs w:val="28"/>
        </w:rPr>
        <w:t xml:space="preserve">, </w:t>
      </w:r>
      <w:r w:rsidRPr="00C353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53DA">
        <w:rPr>
          <w:rFonts w:ascii="Times New Roman" w:hAnsi="Times New Roman" w:cs="Times New Roman"/>
          <w:sz w:val="28"/>
          <w:szCs w:val="28"/>
        </w:rPr>
        <w:t xml:space="preserve"> класса (Строительство системы 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золошлакоудаления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3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53DA">
        <w:rPr>
          <w:rFonts w:ascii="Times New Roman" w:hAnsi="Times New Roman" w:cs="Times New Roman"/>
          <w:sz w:val="28"/>
          <w:szCs w:val="28"/>
        </w:rPr>
        <w:t xml:space="preserve"> Сахалинской ГРЭС-2)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- 20 - опасных производственных объектов,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- 19 - объектов нефтегазового комплекса;</w:t>
      </w:r>
    </w:p>
    <w:p w:rsid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- 1 - опасный производственный объект, на котором ведутся горные работы. </w:t>
      </w:r>
    </w:p>
    <w:p w:rsid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53075" cy="3381375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D6D" w:rsidRDefault="009A7D6D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325" cy="4000500"/>
            <wp:effectExtent l="1905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53DA">
        <w:rPr>
          <w:rFonts w:ascii="Times New Roman" w:hAnsi="Times New Roman" w:cs="Times New Roman"/>
          <w:sz w:val="28"/>
          <w:szCs w:val="28"/>
        </w:rPr>
        <w:t>. За отчетный период проведено 30 проверок объектов капитального строительства, в том числе, при осуществлении государственного строительного надзора проверялись выполнения требований, предусмотренных проектом, по экологической, пожарной и санитарное - эпидемиологической безопасности,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проведенных проверок выявлено 118 нарушений требований проектной документации и других нормативных правовых актов РФ, подлежащих обязательному исполнению при строительстве объектов капитального строительства. Выдано 16 предписаний, из них: по 12 предписаниям замечания устранены, по 4-м предписаниям не истек срок исполнения (в основном не узаконены допущенные при строительстве отклонения от проекта).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Основные правонарушения, выявленные при проверках: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не поставлены на учет в Сахалинском управлении Ростехнадзора грузоподъемные механизмы, работающие на поднадзорном объекте капитального строительства;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не выполнены требования по хранению отходов при строительстве с </w:t>
      </w:r>
      <w:r w:rsidRPr="00C353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53DA">
        <w:rPr>
          <w:rFonts w:ascii="Times New Roman" w:hAnsi="Times New Roman" w:cs="Times New Roman"/>
          <w:sz w:val="28"/>
          <w:szCs w:val="28"/>
        </w:rPr>
        <w:t xml:space="preserve"> – </w:t>
      </w:r>
      <w:r w:rsidRPr="00C353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53DA">
        <w:rPr>
          <w:rFonts w:ascii="Times New Roman" w:hAnsi="Times New Roman" w:cs="Times New Roman"/>
          <w:sz w:val="28"/>
          <w:szCs w:val="28"/>
        </w:rPr>
        <w:t xml:space="preserve"> класс опасности;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не выполнение требований правил устройства электроустановок (ПУЭ);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нарушена технология производства работ по устройству основания фундаментов;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ведется эксплуатация объекта капитального строительства без оформления ввода объекта в эксплуатацию в установленном порядке;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выполненные работы не соответствуют проектной документации;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не зарегистрирован в органе государственного строительного надзора общий журнал учета выполнения работ;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53DA">
        <w:rPr>
          <w:rFonts w:ascii="Times New Roman" w:hAnsi="Times New Roman" w:cs="Times New Roman"/>
          <w:sz w:val="28"/>
          <w:szCs w:val="28"/>
        </w:rPr>
        <w:t>. За отчетный период возбуждено 8 дел об административных правонарушениях: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- 6 дел: </w:t>
      </w:r>
    </w:p>
    <w:p w:rsidR="00C353DA" w:rsidRPr="00C353DA" w:rsidRDefault="00EC4C3B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3DA" w:rsidRPr="00C353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353DA" w:rsidRPr="00C353DA">
        <w:rPr>
          <w:rFonts w:ascii="Times New Roman" w:hAnsi="Times New Roman" w:cs="Times New Roman"/>
          <w:sz w:val="28"/>
          <w:szCs w:val="28"/>
        </w:rPr>
        <w:t>Курилгео</w:t>
      </w:r>
      <w:proofErr w:type="spell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» - по </w:t>
      </w:r>
      <w:proofErr w:type="gramStart"/>
      <w:r w:rsidR="00C353DA" w:rsidRPr="00C353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.5 ст. 9.5 </w:t>
      </w:r>
      <w:proofErr w:type="spellStart"/>
      <w:r w:rsidR="00C353DA" w:rsidRPr="00C353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 РФ; </w:t>
      </w:r>
    </w:p>
    <w:p w:rsidR="00C353DA" w:rsidRPr="00C353DA" w:rsidRDefault="00EC4C3B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53DA" w:rsidRPr="00C353D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353DA" w:rsidRPr="00C353DA">
        <w:rPr>
          <w:rFonts w:ascii="Times New Roman" w:hAnsi="Times New Roman" w:cs="Times New Roman"/>
          <w:sz w:val="28"/>
          <w:szCs w:val="28"/>
        </w:rPr>
        <w:t>РН-Сахалинморнефтегаз</w:t>
      </w:r>
      <w:proofErr w:type="spell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» - 2 протокола по </w:t>
      </w:r>
      <w:proofErr w:type="gramStart"/>
      <w:r w:rsidR="00C353DA" w:rsidRPr="00C353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.1 ст.9.4 </w:t>
      </w:r>
      <w:proofErr w:type="spellStart"/>
      <w:r w:rsidR="00C353DA" w:rsidRPr="00C353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353DA" w:rsidRPr="00C353DA" w:rsidRDefault="00EC4C3B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353DA" w:rsidRPr="00C353DA">
        <w:rPr>
          <w:rFonts w:ascii="Times New Roman" w:hAnsi="Times New Roman" w:cs="Times New Roman"/>
          <w:sz w:val="28"/>
          <w:szCs w:val="28"/>
        </w:rPr>
        <w:t xml:space="preserve">АО «ТЭК </w:t>
      </w:r>
      <w:proofErr w:type="spellStart"/>
      <w:r w:rsidR="00C353DA" w:rsidRPr="00C353DA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» - 2 протокола по ч.1 ст.9.4 </w:t>
      </w:r>
      <w:proofErr w:type="spellStart"/>
      <w:r w:rsidR="00C353DA" w:rsidRPr="00C353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353DA" w:rsidRPr="00C353DA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353DA" w:rsidRPr="00C353DA" w:rsidRDefault="00EC4C3B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353DA" w:rsidRPr="00C353DA">
        <w:rPr>
          <w:rFonts w:ascii="Times New Roman" w:hAnsi="Times New Roman" w:cs="Times New Roman"/>
          <w:sz w:val="28"/>
          <w:szCs w:val="28"/>
        </w:rPr>
        <w:t>АО «ГРЭС-2» -  протокола по ч.1 ст.9.4;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в отношении должностных лиц – 2 дела:</w:t>
      </w:r>
    </w:p>
    <w:p w:rsidR="00C353DA" w:rsidRPr="00C353DA" w:rsidRDefault="00EC4C3B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3DA" w:rsidRPr="00C353DA">
        <w:rPr>
          <w:rFonts w:ascii="Times New Roman" w:hAnsi="Times New Roman" w:cs="Times New Roman"/>
          <w:sz w:val="28"/>
          <w:szCs w:val="28"/>
        </w:rPr>
        <w:t>АО «Аэропорт Южно-Сахалинск», заместитель генерального директора по строительству Казанцев М. В. - по ч.1 ст. 9.4:</w:t>
      </w:r>
    </w:p>
    <w:p w:rsidR="00C353DA" w:rsidRPr="00C353DA" w:rsidRDefault="00EC4C3B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53DA" w:rsidRPr="00C353DA">
        <w:rPr>
          <w:rFonts w:ascii="Times New Roman" w:hAnsi="Times New Roman" w:cs="Times New Roman"/>
          <w:sz w:val="28"/>
          <w:szCs w:val="28"/>
        </w:rPr>
        <w:t>АО «ГРЭС-2», генеральный директор АО «Сахалинская ГРЭС-2» Сидоренко В. С. - по ч. 1 ст. 9.4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Общая сумма наложенных административных штрафов – 270.00 т. р.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Взыскано административных штрафов – 370.00 т. р., в том числе 100.00 т. р. в отношении юридического лиц</w:t>
      </w:r>
      <w:proofErr w:type="gramStart"/>
      <w:r w:rsidRPr="00C353D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353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РН-Сахалинморнефтегаз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>» по результатам проверки 2015 года.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Вынесено 2 постановления о предупреждении: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lastRenderedPageBreak/>
        <w:t>- в отношении должностного лиц</w:t>
      </w:r>
      <w:proofErr w:type="gramStart"/>
      <w:r w:rsidRPr="00C353DA">
        <w:rPr>
          <w:rFonts w:ascii="Times New Roman" w:hAnsi="Times New Roman" w:cs="Times New Roman"/>
          <w:sz w:val="28"/>
          <w:szCs w:val="28"/>
        </w:rPr>
        <w:t>а АО Аэ</w:t>
      </w:r>
      <w:proofErr w:type="gramEnd"/>
      <w:r w:rsidRPr="00C353DA">
        <w:rPr>
          <w:rFonts w:ascii="Times New Roman" w:hAnsi="Times New Roman" w:cs="Times New Roman"/>
          <w:sz w:val="28"/>
          <w:szCs w:val="28"/>
        </w:rPr>
        <w:t xml:space="preserve">ропорт Южно-Сахалинск» Казанцева М. В. по ч. 1 ст. 9.4 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>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в отношении юр. лица АО «ТЭК 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>».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Вынесено 3 постановления </w:t>
      </w:r>
      <w:proofErr w:type="gramStart"/>
      <w:r w:rsidRPr="00C353DA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 в связи с отсутствием</w:t>
      </w:r>
      <w:proofErr w:type="gramEnd"/>
      <w:r w:rsidRPr="00C353DA">
        <w:rPr>
          <w:rFonts w:ascii="Times New Roman" w:hAnsi="Times New Roman" w:cs="Times New Roman"/>
          <w:sz w:val="28"/>
          <w:szCs w:val="28"/>
        </w:rPr>
        <w:t xml:space="preserve"> события административного правонарушения в отношении: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юридического лица АО «</w:t>
      </w:r>
      <w:proofErr w:type="gramStart"/>
      <w:r w:rsidRPr="00C353DA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C353DA">
        <w:rPr>
          <w:rFonts w:ascii="Times New Roman" w:hAnsi="Times New Roman" w:cs="Times New Roman"/>
          <w:sz w:val="28"/>
          <w:szCs w:val="28"/>
        </w:rPr>
        <w:t xml:space="preserve"> ГРЭС-2»;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юридического лица АО ТЭК «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>»;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должностного лица, генерального директора АО «Сахалинская ГРЭС-2» Сидоренко С. В.</w:t>
      </w:r>
    </w:p>
    <w:p w:rsidR="00C353DA" w:rsidRPr="00C353DA" w:rsidRDefault="00D1370C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7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2838450"/>
            <wp:effectExtent l="1905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53DA">
        <w:rPr>
          <w:rFonts w:ascii="Times New Roman" w:hAnsi="Times New Roman" w:cs="Times New Roman"/>
          <w:sz w:val="28"/>
          <w:szCs w:val="28"/>
        </w:rPr>
        <w:t>. За отч</w:t>
      </w:r>
      <w:r w:rsidR="002A2C25">
        <w:rPr>
          <w:rFonts w:ascii="Times New Roman" w:hAnsi="Times New Roman" w:cs="Times New Roman"/>
          <w:sz w:val="28"/>
          <w:szCs w:val="28"/>
        </w:rPr>
        <w:t>етный период выдано 6 заключений</w:t>
      </w:r>
      <w:r w:rsidRPr="00C353DA">
        <w:rPr>
          <w:rFonts w:ascii="Times New Roman" w:hAnsi="Times New Roman" w:cs="Times New Roman"/>
          <w:sz w:val="28"/>
          <w:szCs w:val="28"/>
        </w:rPr>
        <w:t xml:space="preserve"> о соответствии (ЗОС) по объектам: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по одному объекту инфраструктуры железнодорожного транспорта (реконструкция ж/</w:t>
      </w:r>
      <w:proofErr w:type="spellStart"/>
      <w:r w:rsidRPr="00C353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53DA">
        <w:rPr>
          <w:rFonts w:ascii="Times New Roman" w:hAnsi="Times New Roman" w:cs="Times New Roman"/>
          <w:sz w:val="28"/>
          <w:szCs w:val="28"/>
        </w:rPr>
        <w:t xml:space="preserve"> моста);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 xml:space="preserve">- по двум нефтегазовым объектам; 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-по двум объектам авиационной инфраструктуры (Модернизация международного аэропорта Южно-Сахалинск: 6 этап; 5 этап);</w:t>
      </w:r>
    </w:p>
    <w:p w:rsidR="00C353DA" w:rsidRPr="00C353DA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3DA">
        <w:rPr>
          <w:rFonts w:ascii="Times New Roman" w:hAnsi="Times New Roman" w:cs="Times New Roman"/>
          <w:sz w:val="28"/>
          <w:szCs w:val="28"/>
        </w:rPr>
        <w:t>- по одному объекту инфраструктуры морских портов (Мероприятия по улучшению навигационной обстановки в северной гавани морского порта Холмск: оградительное сооружение – волнолом длиной 107 м).</w:t>
      </w:r>
    </w:p>
    <w:p w:rsidR="00C353DA" w:rsidRPr="002A2C25" w:rsidRDefault="00C353DA" w:rsidP="003F21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3DA">
        <w:rPr>
          <w:rFonts w:ascii="Times New Roman" w:hAnsi="Times New Roman" w:cs="Times New Roman"/>
          <w:sz w:val="28"/>
          <w:szCs w:val="28"/>
        </w:rPr>
        <w:t>. Аварийных ситуаций при строительстве и реконструкции поднадзорных объектов за 2016 года не выявлено.</w:t>
      </w:r>
      <w:proofErr w:type="gramEnd"/>
    </w:p>
    <w:p w:rsidR="003A4106" w:rsidRPr="003A4106" w:rsidRDefault="003A4106" w:rsidP="00851DD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106" w:rsidRPr="003A4106" w:rsidSect="00F53116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1C" w:rsidRDefault="00D5011C" w:rsidP="009C3FAA">
      <w:pPr>
        <w:spacing w:after="0" w:line="240" w:lineRule="auto"/>
      </w:pPr>
      <w:r>
        <w:separator/>
      </w:r>
    </w:p>
  </w:endnote>
  <w:endnote w:type="continuationSeparator" w:id="1">
    <w:p w:rsidR="00D5011C" w:rsidRDefault="00D5011C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1C" w:rsidRDefault="00D5011C" w:rsidP="009C3FAA">
      <w:pPr>
        <w:spacing w:after="0" w:line="240" w:lineRule="auto"/>
      </w:pPr>
      <w:r>
        <w:separator/>
      </w:r>
    </w:p>
  </w:footnote>
  <w:footnote w:type="continuationSeparator" w:id="1">
    <w:p w:rsidR="00D5011C" w:rsidRDefault="00D5011C" w:rsidP="009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5018"/>
      <w:docPartObj>
        <w:docPartGallery w:val="Page Numbers (Top of Page)"/>
        <w:docPartUnique/>
      </w:docPartObj>
    </w:sdtPr>
    <w:sdtContent>
      <w:p w:rsidR="00851DD9" w:rsidRDefault="008E30F2">
        <w:pPr>
          <w:pStyle w:val="a7"/>
          <w:jc w:val="center"/>
        </w:pPr>
        <w:fldSimple w:instr=" PAGE   \* MERGEFORMAT ">
          <w:r w:rsidR="00F3235B">
            <w:rPr>
              <w:noProof/>
            </w:rPr>
            <w:t>6</w:t>
          </w:r>
        </w:fldSimple>
      </w:p>
    </w:sdtContent>
  </w:sdt>
  <w:p w:rsidR="00851DD9" w:rsidRDefault="00851D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637"/>
    <w:rsid w:val="00004267"/>
    <w:rsid w:val="000705B0"/>
    <w:rsid w:val="000715AC"/>
    <w:rsid w:val="000B6355"/>
    <w:rsid w:val="001538AD"/>
    <w:rsid w:val="00163166"/>
    <w:rsid w:val="0018500F"/>
    <w:rsid w:val="001E1637"/>
    <w:rsid w:val="00207047"/>
    <w:rsid w:val="00233559"/>
    <w:rsid w:val="00242B2C"/>
    <w:rsid w:val="00243794"/>
    <w:rsid w:val="00282BA6"/>
    <w:rsid w:val="002A2C25"/>
    <w:rsid w:val="002D37F4"/>
    <w:rsid w:val="002E4234"/>
    <w:rsid w:val="002E5010"/>
    <w:rsid w:val="002F2D66"/>
    <w:rsid w:val="00311CC3"/>
    <w:rsid w:val="00313F26"/>
    <w:rsid w:val="00337251"/>
    <w:rsid w:val="003667C1"/>
    <w:rsid w:val="0039047F"/>
    <w:rsid w:val="003A4106"/>
    <w:rsid w:val="003C5EBC"/>
    <w:rsid w:val="003D3DC4"/>
    <w:rsid w:val="003F2192"/>
    <w:rsid w:val="00411699"/>
    <w:rsid w:val="00460CE1"/>
    <w:rsid w:val="004A68E2"/>
    <w:rsid w:val="004B013A"/>
    <w:rsid w:val="004C2BCA"/>
    <w:rsid w:val="004E0A5D"/>
    <w:rsid w:val="005006B3"/>
    <w:rsid w:val="00520772"/>
    <w:rsid w:val="005275E6"/>
    <w:rsid w:val="0055371C"/>
    <w:rsid w:val="00584D1C"/>
    <w:rsid w:val="00597112"/>
    <w:rsid w:val="005A3FCF"/>
    <w:rsid w:val="005B21F6"/>
    <w:rsid w:val="005C0E95"/>
    <w:rsid w:val="005C307F"/>
    <w:rsid w:val="00601687"/>
    <w:rsid w:val="00622AFD"/>
    <w:rsid w:val="00626384"/>
    <w:rsid w:val="006954AF"/>
    <w:rsid w:val="006B7B9D"/>
    <w:rsid w:val="006C2B80"/>
    <w:rsid w:val="006C5D0E"/>
    <w:rsid w:val="006D462C"/>
    <w:rsid w:val="00710055"/>
    <w:rsid w:val="00713E64"/>
    <w:rsid w:val="007312CB"/>
    <w:rsid w:val="00745F67"/>
    <w:rsid w:val="00767F00"/>
    <w:rsid w:val="00774209"/>
    <w:rsid w:val="0077465F"/>
    <w:rsid w:val="007C0E38"/>
    <w:rsid w:val="007C445E"/>
    <w:rsid w:val="007C7CC9"/>
    <w:rsid w:val="007D48E0"/>
    <w:rsid w:val="00803B55"/>
    <w:rsid w:val="0081180D"/>
    <w:rsid w:val="0082395B"/>
    <w:rsid w:val="00841C85"/>
    <w:rsid w:val="00851DD9"/>
    <w:rsid w:val="00876F00"/>
    <w:rsid w:val="008E30F2"/>
    <w:rsid w:val="009104A5"/>
    <w:rsid w:val="00993DD0"/>
    <w:rsid w:val="009A6B44"/>
    <w:rsid w:val="009A7D6D"/>
    <w:rsid w:val="009B47CC"/>
    <w:rsid w:val="009C3FAA"/>
    <w:rsid w:val="009C76BF"/>
    <w:rsid w:val="00A22719"/>
    <w:rsid w:val="00A62300"/>
    <w:rsid w:val="00A748A5"/>
    <w:rsid w:val="00A9236F"/>
    <w:rsid w:val="00AC0BBF"/>
    <w:rsid w:val="00AF04BB"/>
    <w:rsid w:val="00B00AD9"/>
    <w:rsid w:val="00B15169"/>
    <w:rsid w:val="00B61F80"/>
    <w:rsid w:val="00B83656"/>
    <w:rsid w:val="00B841B6"/>
    <w:rsid w:val="00BA152E"/>
    <w:rsid w:val="00BA2AAF"/>
    <w:rsid w:val="00BA3D15"/>
    <w:rsid w:val="00BA5B19"/>
    <w:rsid w:val="00BB17FC"/>
    <w:rsid w:val="00BB4968"/>
    <w:rsid w:val="00C07ABE"/>
    <w:rsid w:val="00C353DA"/>
    <w:rsid w:val="00C439BC"/>
    <w:rsid w:val="00C62FDA"/>
    <w:rsid w:val="00C7303D"/>
    <w:rsid w:val="00CA4146"/>
    <w:rsid w:val="00CB08D1"/>
    <w:rsid w:val="00CD0840"/>
    <w:rsid w:val="00D1370C"/>
    <w:rsid w:val="00D1671D"/>
    <w:rsid w:val="00D35690"/>
    <w:rsid w:val="00D5011C"/>
    <w:rsid w:val="00D71354"/>
    <w:rsid w:val="00D95765"/>
    <w:rsid w:val="00D963BB"/>
    <w:rsid w:val="00DA1AEA"/>
    <w:rsid w:val="00DB0B97"/>
    <w:rsid w:val="00E1301F"/>
    <w:rsid w:val="00E33829"/>
    <w:rsid w:val="00E358C9"/>
    <w:rsid w:val="00E45AF6"/>
    <w:rsid w:val="00E81C09"/>
    <w:rsid w:val="00EC4C3B"/>
    <w:rsid w:val="00EC661E"/>
    <w:rsid w:val="00EC679B"/>
    <w:rsid w:val="00F3235B"/>
    <w:rsid w:val="00F35F24"/>
    <w:rsid w:val="00F52041"/>
    <w:rsid w:val="00F53116"/>
    <w:rsid w:val="00F615F1"/>
    <w:rsid w:val="00F62BC7"/>
    <w:rsid w:val="00F829BE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uiPriority w:val="99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9B4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&#1051;&#1080;&#1089;&#1090;%202%20-%202016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&#1051;&#1080;&#1089;&#1090;%203%20-%202016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&#1051;&#1080;&#1089;&#1090;%201%20-%202016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>
                <a:latin typeface="Times New Roman" pitchFamily="18" charset="0"/>
              </a:rPr>
              <a:t>Типы объектов государственного строительного надзора</a:t>
            </a:r>
          </a:p>
        </c:rich>
      </c:tx>
      <c:layout>
        <c:manualLayout>
          <c:xMode val="edge"/>
          <c:yMode val="edge"/>
          <c:x val="0.1431217838765009"/>
          <c:y val="6.760563380281703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explosion val="1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multiLvlStrRef>
              <c:f>Лист1!$A$1:$B$2</c:f>
              <c:multiLvlStrCache>
                <c:ptCount val="2"/>
                <c:lvl>
                  <c:pt idx="0">
                    <c:v>21 ед.</c:v>
                  </c:pt>
                  <c:pt idx="1">
                    <c:v>9 ед.</c:v>
                  </c:pt>
                </c:lvl>
                <c:lvl>
                  <c:pt idx="0">
                    <c:v>Объекты капитального строительства -</c:v>
                  </c:pt>
                  <c:pt idx="1">
                    <c:v>Объекты реконструкции капитального строительства -</c:v>
                  </c:pt>
                </c:lvl>
              </c:multiLvlStrCache>
            </c:multiLvlStrRef>
          </c:cat>
          <c:val>
            <c:numRef>
              <c:f>Лист1!$C$1:$C$2</c:f>
              <c:numCache>
                <c:formatCode>0%</c:formatCode>
                <c:ptCount val="2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6026066638754333"/>
          <c:y val="0.42321492483894146"/>
          <c:w val="0.32601720668278455"/>
          <c:h val="0.40129742304939153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</a:defRPr>
            </a:pPr>
            <a:r>
              <a:rPr lang="ru-RU" sz="1400" baseline="0">
                <a:latin typeface="Times New Roman" pitchFamily="18" charset="0"/>
              </a:rPr>
              <a:t>Виды объектов капитального строительства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Lbls>
            <c:dLbl>
              <c:idx val="2"/>
              <c:layout>
                <c:manualLayout>
                  <c:x val="-5.5707480586129371E-2"/>
                  <c:y val="-0.10017119860017498"/>
                </c:manualLayout>
              </c:layout>
              <c:showPercent val="1"/>
            </c:dLbl>
            <c:dLbl>
              <c:idx val="3"/>
              <c:layout>
                <c:manualLayout>
                  <c:x val="-6.4491630489316984E-2"/>
                  <c:y val="-0.10264166979127609"/>
                </c:manualLayout>
              </c:layout>
              <c:showPercent val="1"/>
            </c:dLbl>
            <c:dLbl>
              <c:idx val="5"/>
              <c:layout>
                <c:manualLayout>
                  <c:x val="2.735568649945247E-2"/>
                  <c:y val="7.5704425835659533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Лист1!$A$1:$A$6</c:f>
              <c:strCache>
                <c:ptCount val="6"/>
                <c:pt idx="0">
                  <c:v>Ж/д транспорт общего пользования</c:v>
                </c:pt>
                <c:pt idx="1">
                  <c:v>Авиационная инфраструктура</c:v>
                </c:pt>
                <c:pt idx="2">
                  <c:v>Тепловые электростанции мощностью 150 МВт и выше</c:v>
                </c:pt>
                <c:pt idx="3">
                  <c:v>ГТС I,II класса</c:v>
                </c:pt>
                <c:pt idx="4">
                  <c:v>ОПО</c:v>
                </c:pt>
                <c:pt idx="5">
                  <c:v>Морской порт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20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7387111955833312"/>
          <c:y val="0.17451783944874324"/>
          <c:w val="0.32612888044166977"/>
          <c:h val="0.82425892728826766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</a:defRPr>
            </a:pPr>
            <a:r>
              <a:rPr lang="ru-RU" sz="1400" baseline="0">
                <a:latin typeface="Times New Roman" pitchFamily="18" charset="0"/>
              </a:rPr>
              <a:t>Административная практика</a:t>
            </a:r>
          </a:p>
          <a:p>
            <a:pPr>
              <a:defRPr sz="1400" baseline="0">
                <a:latin typeface="Times New Roman" pitchFamily="18" charset="0"/>
              </a:defRPr>
            </a:pPr>
            <a:endParaRPr lang="ru-RU" sz="1400" baseline="0">
              <a:latin typeface="Times New Roman" pitchFamily="18" charset="0"/>
            </a:endParaRPr>
          </a:p>
          <a:p>
            <a:pPr>
              <a:defRPr sz="1400" baseline="0">
                <a:latin typeface="Times New Roman" pitchFamily="18" charset="0"/>
              </a:defRPr>
            </a:pPr>
            <a:endParaRPr lang="ru-RU" sz="1400" baseline="0">
              <a:latin typeface="Times New Roman" pitchFamily="18" charset="0"/>
            </a:endParaRPr>
          </a:p>
        </c:rich>
      </c:tx>
      <c:layout>
        <c:manualLayout>
          <c:xMode val="edge"/>
          <c:yMode val="edge"/>
          <c:x val="0.27517117117117118"/>
          <c:y val="5.591397849462372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Административный штраф</c:v>
                </c:pt>
                <c:pt idx="1">
                  <c:v>Предупреждение</c:v>
                </c:pt>
                <c:pt idx="2">
                  <c:v>Прекращение производства по делу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7537642169728784"/>
          <c:y val="0.28866324001166521"/>
          <c:w val="0.30795691163604666"/>
          <c:h val="0.51619203849518946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5B7E-4E85-4C80-AAA5-5EB8FD05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NPolupan</cp:lastModifiedBy>
  <cp:revision>5</cp:revision>
  <cp:lastPrinted>2017-04-27T05:44:00Z</cp:lastPrinted>
  <dcterms:created xsi:type="dcterms:W3CDTF">2017-05-06T09:12:00Z</dcterms:created>
  <dcterms:modified xsi:type="dcterms:W3CDTF">2017-05-09T23:01:00Z</dcterms:modified>
</cp:coreProperties>
</file>